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דפדי</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173AB4" w:rsidRDefault="00ED65FE">
                <w:pPr>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Pr>
                    <w:rFonts w:ascii="Arial" w:hAnsi="Arial" w:hint="cs"/>
                    <w:b/>
                    <w:bCs/>
                    <w:noProof w:val="0"/>
                    <w:sz w:val="26"/>
                    <w:szCs w:val="26"/>
                    <w:rtl/>
                  </w:rPr>
                  <w:t>ת/המערערת</w:t>
                </w:r>
              </w:p>
            </w:sdtContent>
          </w:sdt>
        </w:tc>
        <w:tc>
          <w:tcPr>
            <w:tcW w:w="5571" w:type="dxa"/>
          </w:tcPr>
          <w:p w:rsidR="0094424E" w:rsidRPr="00ED65FE" w:rsidRDefault="0094424E">
            <w:pPr>
              <w:rPr>
                <w:rFonts w:ascii="Arial" w:hAnsi="Arial"/>
                <w:b/>
                <w:bCs/>
                <w:noProof w:val="0"/>
                <w:sz w:val="26"/>
                <w:szCs w:val="26"/>
                <w:rtl/>
              </w:rPr>
            </w:pPr>
          </w:p>
          <w:p w:rsidR="003763AB" w:rsidRPr="00ED65FE" w:rsidRDefault="00D75389">
            <w:pPr>
              <w:rPr>
                <w:b/>
                <w:bCs/>
                <w:sz w:val="26"/>
                <w:szCs w:val="26"/>
                <w:rtl/>
              </w:rPr>
            </w:pPr>
            <w:sdt>
              <w:sdtPr>
                <w:rPr>
                  <w:b/>
                  <w:bCs/>
                  <w:sz w:val="26"/>
                  <w:szCs w:val="26"/>
                  <w:rtl/>
                </w:rPr>
                <w:alias w:val="1478"/>
                <w:tag w:val="1478"/>
                <w:id w:val="-2076122985"/>
                <w:text w:multiLine="1"/>
              </w:sdtPr>
              <w:sdtEndPr/>
              <w:sdtContent>
                <w:r w:rsidR="001F5DB6" w:rsidRPr="00ED65FE">
                  <w:rPr>
                    <w:rFonts w:ascii="Arial" w:hAnsi="Arial"/>
                    <w:b/>
                    <w:bCs/>
                    <w:noProof w:val="0"/>
                    <w:sz w:val="26"/>
                    <w:szCs w:val="26"/>
                    <w:rtl/>
                  </w:rPr>
                  <w:t>אספן שווק בע"מ</w:t>
                </w:r>
              </w:sdtContent>
            </w:sdt>
          </w:p>
          <w:p w:rsidR="0094424E" w:rsidRPr="00ED65FE" w:rsidRDefault="001D3441">
            <w:pPr>
              <w:rPr>
                <w:b/>
                <w:bCs/>
                <w:noProof w:val="0"/>
                <w:sz w:val="26"/>
                <w:szCs w:val="26"/>
              </w:rPr>
            </w:pPr>
            <w:r w:rsidRPr="00ED65FE">
              <w:rPr>
                <w:rFonts w:hint="cs"/>
                <w:b/>
                <w:bCs/>
                <w:sz w:val="26"/>
                <w:szCs w:val="26"/>
                <w:rtl/>
              </w:rPr>
              <w:t>ע"י ב"כ עו"ד</w:t>
            </w:r>
            <w:r w:rsidR="00ED65FE" w:rsidRPr="00ED65FE">
              <w:rPr>
                <w:rFonts w:hint="cs"/>
                <w:b/>
                <w:bCs/>
                <w:noProof w:val="0"/>
                <w:sz w:val="26"/>
                <w:szCs w:val="26"/>
                <w:rtl/>
              </w:rPr>
              <w:t xml:space="preserve"> ארנולד פרידמן</w:t>
            </w:r>
          </w:p>
        </w:tc>
      </w:tr>
      <w:tr w:rsidR="0094424E" w:rsidRPr="00FA4EAF">
        <w:trPr>
          <w:jc w:val="center"/>
        </w:trPr>
        <w:tc>
          <w:tcPr>
            <w:tcW w:w="8820" w:type="dxa"/>
            <w:gridSpan w:val="3"/>
          </w:tcPr>
          <w:p w:rsidR="0094424E" w:rsidRPr="00ED65FE" w:rsidRDefault="0094424E">
            <w:pPr>
              <w:rPr>
                <w:rFonts w:ascii="Arial" w:hAnsi="Arial"/>
                <w:b/>
                <w:bCs/>
                <w:noProof w:val="0"/>
                <w:sz w:val="26"/>
                <w:szCs w:val="26"/>
                <w:rtl/>
              </w:rPr>
            </w:pPr>
          </w:p>
          <w:p w:rsidR="0094424E" w:rsidRPr="00ED65FE" w:rsidRDefault="0094424E">
            <w:pPr>
              <w:jc w:val="center"/>
              <w:rPr>
                <w:rFonts w:ascii="Arial" w:hAnsi="Arial"/>
                <w:b/>
                <w:bCs/>
                <w:noProof w:val="0"/>
                <w:sz w:val="26"/>
                <w:szCs w:val="26"/>
                <w:rtl/>
              </w:rPr>
            </w:pPr>
            <w:r w:rsidRPr="00ED65FE">
              <w:rPr>
                <w:rFonts w:ascii="Arial" w:hAnsi="Arial"/>
                <w:b/>
                <w:bCs/>
                <w:noProof w:val="0"/>
                <w:sz w:val="26"/>
                <w:szCs w:val="26"/>
                <w:rtl/>
              </w:rPr>
              <w:t>נגד</w:t>
            </w:r>
          </w:p>
          <w:p w:rsidR="0094424E" w:rsidRPr="00ED65FE"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D75389">
            <w:pPr>
              <w:rPr>
                <w:rFonts w:ascii="Arial" w:hAnsi="Arial"/>
                <w:b/>
                <w:bCs/>
                <w:noProof w:val="0"/>
                <w:sz w:val="26"/>
                <w:szCs w:val="26"/>
              </w:rPr>
            </w:pPr>
            <w:sdt>
              <w:sdtPr>
                <w:rPr>
                  <w:sz w:val="26"/>
                  <w:szCs w:val="26"/>
                  <w:rtl/>
                </w:rPr>
                <w:alias w:val="1184"/>
                <w:tag w:val="1184"/>
                <w:id w:val="-340621022"/>
                <w:text w:multiLine="1"/>
              </w:sdtPr>
              <w:sdtEndPr/>
              <w:sdtContent>
                <w:r w:rsidR="00ED65FE">
                  <w:rPr>
                    <w:rFonts w:ascii="Arial" w:hAnsi="Arial" w:hint="cs"/>
                    <w:b/>
                    <w:bCs/>
                    <w:noProof w:val="0"/>
                    <w:sz w:val="26"/>
                    <w:szCs w:val="26"/>
                    <w:rtl/>
                  </w:rPr>
                  <w:t>ה</w:t>
                </w:r>
                <w:r w:rsidR="00ED65FE">
                  <w:rPr>
                    <w:rFonts w:ascii="Arial" w:hAnsi="Arial"/>
                    <w:b/>
                    <w:bCs/>
                    <w:noProof w:val="0"/>
                    <w:sz w:val="26"/>
                    <w:szCs w:val="26"/>
                    <w:rtl/>
                  </w:rPr>
                  <w:t>משיב</w:t>
                </w:r>
                <w:r w:rsidR="00ED65FE">
                  <w:rPr>
                    <w:rFonts w:ascii="Arial" w:hAnsi="Arial" w:hint="cs"/>
                    <w:b/>
                    <w:bCs/>
                    <w:noProof w:val="0"/>
                    <w:sz w:val="26"/>
                    <w:szCs w:val="26"/>
                    <w:rtl/>
                  </w:rPr>
                  <w:t>ה</w:t>
                </w:r>
              </w:sdtContent>
            </w:sdt>
          </w:p>
        </w:tc>
        <w:tc>
          <w:tcPr>
            <w:tcW w:w="5571" w:type="dxa"/>
          </w:tcPr>
          <w:p w:rsidR="0094424E" w:rsidRPr="00ED65FE" w:rsidRDefault="0094424E">
            <w:pPr>
              <w:rPr>
                <w:rFonts w:ascii="Arial" w:hAnsi="Arial"/>
                <w:b/>
                <w:bCs/>
                <w:noProof w:val="0"/>
                <w:sz w:val="26"/>
                <w:szCs w:val="26"/>
                <w:rtl/>
              </w:rPr>
            </w:pPr>
          </w:p>
          <w:p w:rsidR="003763AB" w:rsidRPr="00ED65FE" w:rsidRDefault="00D75389" w:rsidP="00FD6A83">
            <w:pPr>
              <w:rPr>
                <w:b/>
                <w:bCs/>
                <w:sz w:val="26"/>
                <w:szCs w:val="26"/>
                <w:rtl/>
              </w:rPr>
            </w:pPr>
            <w:sdt>
              <w:sdtPr>
                <w:rPr>
                  <w:b/>
                  <w:bCs/>
                  <w:sz w:val="26"/>
                  <w:szCs w:val="26"/>
                  <w:rtl/>
                </w:rPr>
                <w:alias w:val="1486"/>
                <w:tag w:val="1486"/>
                <w:id w:val="-309872140"/>
                <w:text w:multiLine="1"/>
              </w:sdtPr>
              <w:sdtEndPr/>
              <w:sdtContent>
                <w:r w:rsidR="001F5DB6" w:rsidRPr="00ED65FE">
                  <w:rPr>
                    <w:rFonts w:ascii="Arial" w:hAnsi="Arial"/>
                    <w:b/>
                    <w:bCs/>
                    <w:noProof w:val="0"/>
                    <w:sz w:val="26"/>
                    <w:szCs w:val="26"/>
                  </w:rPr>
                  <w:t>DERMAESTHETICS BEVERLY HILLS FORMULA USA, INC</w:t>
                </w:r>
              </w:sdtContent>
            </w:sdt>
          </w:p>
          <w:p w:rsidR="0094424E" w:rsidRPr="00ED65FE" w:rsidRDefault="001D3441">
            <w:pPr>
              <w:rPr>
                <w:b/>
                <w:bCs/>
                <w:noProof w:val="0"/>
                <w:sz w:val="26"/>
                <w:szCs w:val="26"/>
                <w:rtl/>
              </w:rPr>
            </w:pPr>
            <w:r w:rsidRPr="00ED65FE">
              <w:rPr>
                <w:rFonts w:hint="cs"/>
                <w:b/>
                <w:bCs/>
                <w:sz w:val="26"/>
                <w:szCs w:val="26"/>
                <w:rtl/>
              </w:rPr>
              <w:t>ע"י ב"כ עו"ד</w:t>
            </w:r>
            <w:r w:rsidR="00ED65FE" w:rsidRPr="00ED65FE">
              <w:rPr>
                <w:rFonts w:hint="cs"/>
                <w:b/>
                <w:bCs/>
                <w:noProof w:val="0"/>
                <w:sz w:val="26"/>
                <w:szCs w:val="26"/>
                <w:rtl/>
              </w:rPr>
              <w:t xml:space="preserve"> רחלי פרי </w:t>
            </w:r>
            <w:r w:rsidR="00AE2DA5">
              <w:rPr>
                <w:rFonts w:hint="cs"/>
                <w:b/>
                <w:bCs/>
                <w:noProof w:val="0"/>
                <w:sz w:val="26"/>
                <w:szCs w:val="26"/>
                <w:rtl/>
              </w:rPr>
              <w:t xml:space="preserve">- </w:t>
            </w:r>
            <w:r w:rsidR="00ED65FE" w:rsidRPr="00ED65FE">
              <w:rPr>
                <w:rFonts w:hint="cs"/>
                <w:b/>
                <w:bCs/>
                <w:noProof w:val="0"/>
                <w:sz w:val="26"/>
                <w:szCs w:val="26"/>
                <w:rtl/>
              </w:rPr>
              <w:t>רייכמן ועו"ד אור אבי ווזנה</w:t>
            </w:r>
          </w:p>
        </w:tc>
      </w:tr>
      <w:tr w:rsidR="004C17EE" w:rsidRPr="00FA4EAF" w:rsidTr="00D620FD">
        <w:trPr>
          <w:jc w:val="center"/>
        </w:trPr>
        <w:tc>
          <w:tcPr>
            <w:tcW w:w="8820" w:type="dxa"/>
            <w:gridSpan w:val="3"/>
          </w:tcPr>
          <w:p w:rsidR="00173AB4" w:rsidRDefault="00173AB4">
            <w:pPr>
              <w:rPr>
                <w:rFonts w:ascii="Arial" w:hAnsi="Arial"/>
                <w:b/>
                <w:bCs/>
                <w:noProof w:val="0"/>
                <w:sz w:val="26"/>
                <w:szCs w:val="26"/>
                <w:rtl/>
              </w:rPr>
            </w:pPr>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ED65FE" w:rsidP="00531BC8">
      <w:pPr>
        <w:pStyle w:val="ad"/>
        <w:numPr>
          <w:ilvl w:val="0"/>
          <w:numId w:val="1"/>
        </w:numPr>
        <w:spacing w:line="360" w:lineRule="auto"/>
        <w:jc w:val="both"/>
        <w:rPr>
          <w:rFonts w:ascii="Arial" w:hAnsi="Arial"/>
          <w:noProof w:val="0"/>
        </w:rPr>
      </w:pPr>
      <w:bookmarkStart w:id="0" w:name="NGCSBookmark"/>
      <w:bookmarkEnd w:id="0"/>
      <w:r>
        <w:rPr>
          <w:rFonts w:ascii="Arial" w:hAnsi="Arial" w:hint="cs"/>
          <w:noProof w:val="0"/>
          <w:rtl/>
        </w:rPr>
        <w:t xml:space="preserve">לפניי בקשה להארכת מועד להגשת בקשת רשות ערעור על </w:t>
      </w:r>
      <w:r w:rsidR="00531BC8">
        <w:rPr>
          <w:rFonts w:ascii="Arial" w:hAnsi="Arial" w:hint="cs"/>
          <w:noProof w:val="0"/>
          <w:rtl/>
        </w:rPr>
        <w:t xml:space="preserve">החלטת בית משפט השלום, </w:t>
      </w:r>
      <w:r>
        <w:rPr>
          <w:rFonts w:ascii="Arial" w:hAnsi="Arial" w:hint="cs"/>
          <w:noProof w:val="0"/>
          <w:rtl/>
        </w:rPr>
        <w:t>כב' השופ</w:t>
      </w:r>
      <w:r w:rsidR="00531BC8">
        <w:rPr>
          <w:rFonts w:ascii="Arial" w:hAnsi="Arial" w:hint="cs"/>
          <w:noProof w:val="0"/>
          <w:rtl/>
        </w:rPr>
        <w:t>ט אהרון אורנשטיין, מיום 9.1.2023 בת"א 15443-10-22.</w:t>
      </w:r>
    </w:p>
    <w:p w:rsidR="00A2337E" w:rsidRDefault="00A2337E" w:rsidP="00A2337E">
      <w:pPr>
        <w:pStyle w:val="ad"/>
        <w:spacing w:line="360" w:lineRule="auto"/>
        <w:jc w:val="both"/>
        <w:rPr>
          <w:rFonts w:ascii="Arial" w:hAnsi="Arial"/>
          <w:noProof w:val="0"/>
        </w:rPr>
      </w:pPr>
    </w:p>
    <w:p w:rsidR="00ED65FE" w:rsidRDefault="00ED65FE" w:rsidP="002D04BE">
      <w:pPr>
        <w:pStyle w:val="ad"/>
        <w:numPr>
          <w:ilvl w:val="0"/>
          <w:numId w:val="1"/>
        </w:numPr>
        <w:spacing w:line="360" w:lineRule="auto"/>
        <w:jc w:val="both"/>
        <w:rPr>
          <w:rFonts w:ascii="Arial" w:hAnsi="Arial"/>
          <w:noProof w:val="0"/>
        </w:rPr>
      </w:pPr>
      <w:r>
        <w:rPr>
          <w:rFonts w:ascii="Arial" w:hAnsi="Arial" w:hint="cs"/>
          <w:noProof w:val="0"/>
          <w:rtl/>
        </w:rPr>
        <w:t xml:space="preserve">בהחלטה נושא הבקשה </w:t>
      </w:r>
      <w:r w:rsidR="00565D4A">
        <w:rPr>
          <w:rFonts w:ascii="Arial" w:hAnsi="Arial" w:hint="cs"/>
          <w:noProof w:val="0"/>
          <w:rtl/>
        </w:rPr>
        <w:t>שהוכתרה כפסק דין</w:t>
      </w:r>
      <w:r w:rsidR="00ED66DA">
        <w:rPr>
          <w:rFonts w:ascii="Arial" w:hAnsi="Arial" w:hint="cs"/>
          <w:noProof w:val="0"/>
          <w:rtl/>
        </w:rPr>
        <w:t>,</w:t>
      </w:r>
      <w:r w:rsidR="00565D4A">
        <w:rPr>
          <w:rFonts w:ascii="Arial" w:hAnsi="Arial" w:hint="cs"/>
          <w:noProof w:val="0"/>
          <w:rtl/>
        </w:rPr>
        <w:t xml:space="preserve"> </w:t>
      </w:r>
      <w:r w:rsidR="000B3EA2">
        <w:rPr>
          <w:rFonts w:ascii="Arial" w:hAnsi="Arial" w:hint="cs"/>
          <w:noProof w:val="0"/>
          <w:rtl/>
        </w:rPr>
        <w:t>הורה בית משפט קמא על</w:t>
      </w:r>
      <w:r w:rsidR="00FE1624">
        <w:rPr>
          <w:rFonts w:ascii="Arial" w:hAnsi="Arial" w:hint="cs"/>
          <w:noProof w:val="0"/>
          <w:rtl/>
        </w:rPr>
        <w:t xml:space="preserve"> עיכוב ההליכים בתיק</w:t>
      </w:r>
      <w:r w:rsidR="00AE2DA5">
        <w:rPr>
          <w:rFonts w:ascii="Arial" w:hAnsi="Arial" w:hint="cs"/>
          <w:noProof w:val="0"/>
          <w:rtl/>
        </w:rPr>
        <w:t xml:space="preserve"> שהתנהל לפניו</w:t>
      </w:r>
      <w:r w:rsidR="00FE1624">
        <w:rPr>
          <w:rFonts w:ascii="Arial" w:hAnsi="Arial" w:hint="cs"/>
          <w:noProof w:val="0"/>
          <w:rtl/>
        </w:rPr>
        <w:t xml:space="preserve"> בהתאם לחוק הבוררות. זאת</w:t>
      </w:r>
      <w:r w:rsidR="00ED66DA">
        <w:rPr>
          <w:rFonts w:ascii="Arial" w:hAnsi="Arial" w:hint="cs"/>
          <w:noProof w:val="0"/>
          <w:rtl/>
        </w:rPr>
        <w:t>,</w:t>
      </w:r>
      <w:r w:rsidR="00FE1624">
        <w:rPr>
          <w:rFonts w:ascii="Arial" w:hAnsi="Arial" w:hint="cs"/>
          <w:noProof w:val="0"/>
          <w:rtl/>
        </w:rPr>
        <w:t xml:space="preserve"> לאור טענת המשיבה כי בהתאם להסכם בין הצדדים עליהם ל</w:t>
      </w:r>
      <w:r w:rsidR="002D04BE">
        <w:rPr>
          <w:rFonts w:ascii="Arial" w:hAnsi="Arial" w:hint="cs"/>
          <w:noProof w:val="0"/>
          <w:rtl/>
        </w:rPr>
        <w:t xml:space="preserve">ברר את המחלוקת במסגרת </w:t>
      </w:r>
      <w:r w:rsidR="00FE1624">
        <w:rPr>
          <w:rFonts w:ascii="Arial" w:hAnsi="Arial" w:hint="cs"/>
          <w:noProof w:val="0"/>
          <w:rtl/>
        </w:rPr>
        <w:t>בוררות</w:t>
      </w:r>
      <w:r w:rsidR="002D04BE">
        <w:rPr>
          <w:rFonts w:ascii="Arial" w:hAnsi="Arial" w:hint="cs"/>
          <w:noProof w:val="0"/>
          <w:rtl/>
        </w:rPr>
        <w:t xml:space="preserve"> שתתקיים</w:t>
      </w:r>
      <w:r w:rsidR="00FE1624">
        <w:rPr>
          <w:rFonts w:ascii="Arial" w:hAnsi="Arial" w:hint="cs"/>
          <w:noProof w:val="0"/>
          <w:rtl/>
        </w:rPr>
        <w:t xml:space="preserve"> בפני מוסד בוררות ב</w:t>
      </w:r>
      <w:r w:rsidR="00ED66DA">
        <w:rPr>
          <w:rFonts w:ascii="Arial" w:hAnsi="Arial" w:hint="cs"/>
          <w:noProof w:val="0"/>
          <w:rtl/>
        </w:rPr>
        <w:t xml:space="preserve">מדינת </w:t>
      </w:r>
      <w:r w:rsidR="00FE1624">
        <w:rPr>
          <w:rFonts w:ascii="Arial" w:hAnsi="Arial" w:hint="cs"/>
          <w:noProof w:val="0"/>
          <w:rtl/>
        </w:rPr>
        <w:t xml:space="preserve">דלאוור </w:t>
      </w:r>
      <w:r w:rsidR="00ED66DA">
        <w:rPr>
          <w:rFonts w:ascii="Arial" w:hAnsi="Arial" w:hint="cs"/>
          <w:noProof w:val="0"/>
          <w:rtl/>
        </w:rPr>
        <w:t>ש</w:t>
      </w:r>
      <w:r w:rsidR="00FE1624">
        <w:rPr>
          <w:rFonts w:ascii="Arial" w:hAnsi="Arial" w:hint="cs"/>
          <w:noProof w:val="0"/>
          <w:rtl/>
        </w:rPr>
        <w:t xml:space="preserve">בארצות הברית. </w:t>
      </w:r>
      <w:r w:rsidR="0090599B">
        <w:rPr>
          <w:rFonts w:ascii="Arial" w:hAnsi="Arial" w:hint="cs"/>
          <w:noProof w:val="0"/>
          <w:rtl/>
        </w:rPr>
        <w:t xml:space="preserve">בית המשפט קמא דחה את טענת המבקשת </w:t>
      </w:r>
      <w:r>
        <w:rPr>
          <w:rFonts w:ascii="Arial" w:hAnsi="Arial" w:hint="cs"/>
          <w:noProof w:val="0"/>
          <w:rtl/>
        </w:rPr>
        <w:t xml:space="preserve">כי תניות הבוררות והשיפוט </w:t>
      </w:r>
      <w:r w:rsidR="00EA12F7">
        <w:rPr>
          <w:rFonts w:ascii="Arial" w:hAnsi="Arial" w:hint="cs"/>
          <w:noProof w:val="0"/>
          <w:rtl/>
        </w:rPr>
        <w:t>מהוות תניות מקפחות בחוזה אחיד ולכן יש לבטלן</w:t>
      </w:r>
      <w:r w:rsidR="00FE1624">
        <w:rPr>
          <w:rFonts w:ascii="Arial" w:hAnsi="Arial" w:hint="cs"/>
          <w:noProof w:val="0"/>
          <w:rtl/>
        </w:rPr>
        <w:t xml:space="preserve"> וכן</w:t>
      </w:r>
      <w:r w:rsidR="0090599B">
        <w:rPr>
          <w:rFonts w:ascii="Arial" w:hAnsi="Arial" w:hint="cs"/>
          <w:noProof w:val="0"/>
          <w:rtl/>
        </w:rPr>
        <w:t xml:space="preserve"> קיבל את טענת המשיבה כי תניות אלו ייחודיות</w:t>
      </w:r>
      <w:r w:rsidR="00FE1624">
        <w:rPr>
          <w:rFonts w:ascii="Arial" w:hAnsi="Arial" w:hint="cs"/>
          <w:noProof w:val="0"/>
          <w:rtl/>
        </w:rPr>
        <w:t xml:space="preserve">. בנוסף, </w:t>
      </w:r>
      <w:r w:rsidR="0090599B">
        <w:rPr>
          <w:rFonts w:ascii="Arial" w:hAnsi="Arial" w:hint="cs"/>
          <w:noProof w:val="0"/>
          <w:rtl/>
        </w:rPr>
        <w:t>ביטל את היתר ההמצאה מחוץ ל</w:t>
      </w:r>
      <w:r w:rsidR="00565D4A">
        <w:rPr>
          <w:rFonts w:ascii="Arial" w:hAnsi="Arial" w:hint="cs"/>
          <w:noProof w:val="0"/>
          <w:rtl/>
        </w:rPr>
        <w:t>מדינה שניתן לפני כן על ידי מותב אחר.</w:t>
      </w:r>
    </w:p>
    <w:p w:rsidR="00A2337E" w:rsidRPr="00A2337E" w:rsidRDefault="00A2337E" w:rsidP="00A2337E">
      <w:pPr>
        <w:spacing w:line="360" w:lineRule="auto"/>
        <w:jc w:val="both"/>
        <w:rPr>
          <w:rFonts w:ascii="Arial" w:hAnsi="Arial"/>
          <w:noProof w:val="0"/>
        </w:rPr>
      </w:pPr>
    </w:p>
    <w:p w:rsidR="00D96211" w:rsidRDefault="00565D4A" w:rsidP="00802352">
      <w:pPr>
        <w:pStyle w:val="ad"/>
        <w:numPr>
          <w:ilvl w:val="0"/>
          <w:numId w:val="1"/>
        </w:numPr>
        <w:spacing w:line="360" w:lineRule="auto"/>
        <w:jc w:val="both"/>
        <w:rPr>
          <w:rFonts w:ascii="Arial" w:hAnsi="Arial"/>
          <w:noProof w:val="0"/>
        </w:rPr>
      </w:pPr>
      <w:r>
        <w:rPr>
          <w:rFonts w:ascii="Arial" w:hAnsi="Arial" w:hint="cs"/>
          <w:noProof w:val="0"/>
          <w:rtl/>
        </w:rPr>
        <w:t xml:space="preserve">ביום 1.3.23 הגישה </w:t>
      </w:r>
      <w:r w:rsidR="00ED66DA">
        <w:rPr>
          <w:rFonts w:ascii="Arial" w:hAnsi="Arial" w:hint="cs"/>
          <w:noProof w:val="0"/>
          <w:rtl/>
        </w:rPr>
        <w:t xml:space="preserve">המבקשת </w:t>
      </w:r>
      <w:r>
        <w:rPr>
          <w:rFonts w:ascii="Arial" w:hAnsi="Arial" w:hint="cs"/>
          <w:noProof w:val="0"/>
          <w:rtl/>
        </w:rPr>
        <w:t xml:space="preserve">ערעור על פסק הדין </w:t>
      </w:r>
      <w:r w:rsidR="00ED66DA">
        <w:rPr>
          <w:rFonts w:ascii="Arial" w:hAnsi="Arial" w:hint="cs"/>
          <w:noProof w:val="0"/>
          <w:rtl/>
        </w:rPr>
        <w:t>(ע"א 2434-03-23)</w:t>
      </w:r>
      <w:r w:rsidR="00D96211">
        <w:rPr>
          <w:rFonts w:ascii="Arial" w:hAnsi="Arial" w:hint="cs"/>
          <w:noProof w:val="0"/>
          <w:rtl/>
        </w:rPr>
        <w:t xml:space="preserve">. לאור טענת משרד ב"כ המשיבה כי אינו מוסמך </w:t>
      </w:r>
      <w:r>
        <w:rPr>
          <w:rFonts w:ascii="Arial" w:hAnsi="Arial" w:hint="cs"/>
          <w:noProof w:val="0"/>
          <w:rtl/>
        </w:rPr>
        <w:t>לייצג את המשיבה או לקבל בשמה כתבי בי דין</w:t>
      </w:r>
      <w:r w:rsidR="00FE17E9">
        <w:rPr>
          <w:rFonts w:ascii="Arial" w:hAnsi="Arial" w:hint="cs"/>
          <w:noProof w:val="0"/>
          <w:rtl/>
        </w:rPr>
        <w:t>,</w:t>
      </w:r>
      <w:r w:rsidR="00D96211">
        <w:rPr>
          <w:rFonts w:ascii="Arial" w:hAnsi="Arial" w:hint="cs"/>
          <w:noProof w:val="0"/>
          <w:rtl/>
        </w:rPr>
        <w:t xml:space="preserve"> </w:t>
      </w:r>
      <w:r w:rsidR="00802352">
        <w:rPr>
          <w:rFonts w:ascii="Arial" w:hAnsi="Arial" w:hint="cs"/>
          <w:noProof w:val="0"/>
          <w:rtl/>
        </w:rPr>
        <w:t xml:space="preserve">הורתה </w:t>
      </w:r>
      <w:r w:rsidR="00D96211">
        <w:rPr>
          <w:rFonts w:ascii="Arial" w:hAnsi="Arial" w:hint="cs"/>
          <w:noProof w:val="0"/>
          <w:rtl/>
        </w:rPr>
        <w:t xml:space="preserve"> </w:t>
      </w:r>
      <w:r w:rsidR="002D04BE">
        <w:rPr>
          <w:rFonts w:ascii="Arial" w:hAnsi="Arial" w:hint="cs"/>
          <w:noProof w:val="0"/>
          <w:rtl/>
        </w:rPr>
        <w:t xml:space="preserve">כב' </w:t>
      </w:r>
      <w:r w:rsidR="00D96211">
        <w:rPr>
          <w:rFonts w:ascii="Arial" w:hAnsi="Arial" w:hint="cs"/>
          <w:noProof w:val="0"/>
          <w:rtl/>
        </w:rPr>
        <w:t xml:space="preserve">השופטת אורלי </w:t>
      </w:r>
      <w:r w:rsidR="00802352">
        <w:rPr>
          <w:rFonts w:ascii="Arial" w:hAnsi="Arial" w:hint="cs"/>
          <w:noProof w:val="0"/>
          <w:rtl/>
        </w:rPr>
        <w:t xml:space="preserve">מור- אל, בכובעה כרשמת, ביום 15.3.2023 </w:t>
      </w:r>
      <w:r w:rsidR="00D96211">
        <w:rPr>
          <w:rFonts w:ascii="Arial" w:hAnsi="Arial" w:hint="cs"/>
          <w:noProof w:val="0"/>
          <w:rtl/>
        </w:rPr>
        <w:t xml:space="preserve">על ביצוע המצאה של כתב הערעור למשיבה בקליפורניה. </w:t>
      </w:r>
    </w:p>
    <w:p w:rsidR="00D96211" w:rsidRPr="00D96211" w:rsidRDefault="00D96211" w:rsidP="00D96211">
      <w:pPr>
        <w:pStyle w:val="ad"/>
        <w:rPr>
          <w:rFonts w:ascii="Arial" w:hAnsi="Arial"/>
          <w:noProof w:val="0"/>
          <w:rtl/>
        </w:rPr>
      </w:pPr>
    </w:p>
    <w:p w:rsidR="00802352" w:rsidRDefault="00B7267C" w:rsidP="00AE2DA5">
      <w:pPr>
        <w:pStyle w:val="ad"/>
        <w:numPr>
          <w:ilvl w:val="0"/>
          <w:numId w:val="1"/>
        </w:numPr>
        <w:spacing w:line="360" w:lineRule="auto"/>
        <w:jc w:val="both"/>
        <w:rPr>
          <w:rFonts w:ascii="Arial" w:hAnsi="Arial"/>
          <w:noProof w:val="0"/>
        </w:rPr>
      </w:pPr>
      <w:r>
        <w:rPr>
          <w:rFonts w:ascii="Arial" w:hAnsi="Arial" w:hint="cs"/>
          <w:noProof w:val="0"/>
          <w:rtl/>
        </w:rPr>
        <w:t>ב</w:t>
      </w:r>
      <w:r w:rsidR="00AE2DA5">
        <w:rPr>
          <w:rFonts w:ascii="Arial" w:hAnsi="Arial" w:hint="cs"/>
          <w:noProof w:val="0"/>
          <w:rtl/>
        </w:rPr>
        <w:t xml:space="preserve">יום 21.5.23, </w:t>
      </w:r>
      <w:r w:rsidR="00802352">
        <w:rPr>
          <w:rFonts w:ascii="Arial" w:hAnsi="Arial" w:hint="cs"/>
          <w:noProof w:val="0"/>
          <w:rtl/>
        </w:rPr>
        <w:t>כב' השופטת נועה גרוסמ</w:t>
      </w:r>
      <w:r w:rsidR="00AE2DA5">
        <w:rPr>
          <w:rFonts w:ascii="Arial" w:hAnsi="Arial" w:hint="cs"/>
          <w:noProof w:val="0"/>
          <w:rtl/>
        </w:rPr>
        <w:t>ן</w:t>
      </w:r>
      <w:r w:rsidR="00FE17E9">
        <w:rPr>
          <w:rFonts w:ascii="Arial" w:hAnsi="Arial" w:hint="cs"/>
          <w:noProof w:val="0"/>
          <w:rtl/>
        </w:rPr>
        <w:t>,</w:t>
      </w:r>
      <w:r w:rsidR="00802352">
        <w:rPr>
          <w:rFonts w:ascii="Arial" w:hAnsi="Arial" w:hint="cs"/>
          <w:noProof w:val="0"/>
          <w:rtl/>
        </w:rPr>
        <w:t xml:space="preserve"> </w:t>
      </w:r>
      <w:r w:rsidR="002D04BE">
        <w:rPr>
          <w:rFonts w:ascii="Arial" w:hAnsi="Arial" w:hint="cs"/>
          <w:noProof w:val="0"/>
          <w:rtl/>
        </w:rPr>
        <w:t xml:space="preserve">אליה הועבר הטיפול </w:t>
      </w:r>
      <w:r w:rsidR="00802352">
        <w:rPr>
          <w:rFonts w:ascii="Arial" w:hAnsi="Arial" w:hint="cs"/>
          <w:noProof w:val="0"/>
          <w:rtl/>
        </w:rPr>
        <w:t>בערעור</w:t>
      </w:r>
      <w:r w:rsidR="00FE17E9">
        <w:rPr>
          <w:rFonts w:ascii="Arial" w:hAnsi="Arial" w:hint="cs"/>
          <w:noProof w:val="0"/>
          <w:rtl/>
        </w:rPr>
        <w:t>,</w:t>
      </w:r>
      <w:r w:rsidR="00802352">
        <w:rPr>
          <w:rFonts w:ascii="Arial" w:hAnsi="Arial" w:hint="cs"/>
          <w:noProof w:val="0"/>
          <w:rtl/>
        </w:rPr>
        <w:t xml:space="preserve"> </w:t>
      </w:r>
      <w:r w:rsidR="00AE2DA5">
        <w:rPr>
          <w:rFonts w:ascii="Arial" w:hAnsi="Arial" w:hint="cs"/>
          <w:noProof w:val="0"/>
          <w:rtl/>
        </w:rPr>
        <w:t xml:space="preserve">קבעה </w:t>
      </w:r>
      <w:r w:rsidR="00802352">
        <w:rPr>
          <w:rFonts w:ascii="Arial" w:hAnsi="Arial" w:hint="cs"/>
          <w:noProof w:val="0"/>
          <w:rtl/>
        </w:rPr>
        <w:t xml:space="preserve">כי מתבקשת תשובה לערעור </w:t>
      </w:r>
      <w:r w:rsidR="00FE17E9">
        <w:rPr>
          <w:rFonts w:ascii="Arial" w:hAnsi="Arial" w:hint="cs"/>
          <w:noProof w:val="0"/>
          <w:rtl/>
        </w:rPr>
        <w:t>ונתנה</w:t>
      </w:r>
      <w:r w:rsidR="00802352">
        <w:rPr>
          <w:rFonts w:ascii="Arial" w:hAnsi="Arial" w:hint="cs"/>
          <w:noProof w:val="0"/>
          <w:rtl/>
        </w:rPr>
        <w:t xml:space="preserve"> הוראות מתאימות </w:t>
      </w:r>
      <w:r w:rsidR="00AE2DA5">
        <w:rPr>
          <w:rFonts w:ascii="Arial" w:hAnsi="Arial" w:hint="cs"/>
          <w:noProof w:val="0"/>
          <w:rtl/>
        </w:rPr>
        <w:t>להגשתה</w:t>
      </w:r>
      <w:r w:rsidR="00802352">
        <w:rPr>
          <w:rFonts w:ascii="Arial" w:hAnsi="Arial" w:hint="cs"/>
          <w:noProof w:val="0"/>
          <w:rtl/>
        </w:rPr>
        <w:t xml:space="preserve">.  </w:t>
      </w:r>
      <w:r w:rsidR="00D96211">
        <w:rPr>
          <w:rFonts w:ascii="Arial" w:hAnsi="Arial" w:hint="cs"/>
          <w:noProof w:val="0"/>
          <w:rtl/>
        </w:rPr>
        <w:t xml:space="preserve"> </w:t>
      </w:r>
    </w:p>
    <w:p w:rsidR="00802352" w:rsidRPr="00802352" w:rsidRDefault="00802352" w:rsidP="00802352">
      <w:pPr>
        <w:pStyle w:val="ad"/>
        <w:rPr>
          <w:rFonts w:ascii="Arial" w:hAnsi="Arial"/>
          <w:noProof w:val="0"/>
          <w:rtl/>
        </w:rPr>
      </w:pPr>
    </w:p>
    <w:p w:rsidR="00132B2A" w:rsidRDefault="00802352" w:rsidP="00AE2DA5">
      <w:pPr>
        <w:pStyle w:val="ad"/>
        <w:numPr>
          <w:ilvl w:val="0"/>
          <w:numId w:val="1"/>
        </w:numPr>
        <w:spacing w:line="360" w:lineRule="auto"/>
        <w:jc w:val="both"/>
        <w:rPr>
          <w:rFonts w:ascii="Arial" w:hAnsi="Arial"/>
          <w:noProof w:val="0"/>
        </w:rPr>
      </w:pPr>
      <w:r>
        <w:rPr>
          <w:rFonts w:ascii="Arial" w:hAnsi="Arial" w:hint="cs"/>
          <w:noProof w:val="0"/>
          <w:rtl/>
        </w:rPr>
        <w:t xml:space="preserve">למחרת ביום 22.5.2023 קבעה כב' השופטת כדלקמן: </w:t>
      </w:r>
    </w:p>
    <w:p w:rsidR="00132B2A" w:rsidRPr="00132B2A" w:rsidRDefault="00132B2A" w:rsidP="00132B2A">
      <w:pPr>
        <w:pStyle w:val="ad"/>
        <w:rPr>
          <w:rFonts w:ascii="Arial" w:hAnsi="Arial"/>
          <w:noProof w:val="0"/>
          <w:rtl/>
        </w:rPr>
      </w:pPr>
    </w:p>
    <w:p w:rsidR="00132B2A" w:rsidRDefault="00802352" w:rsidP="00132B2A">
      <w:pPr>
        <w:pStyle w:val="ad"/>
        <w:spacing w:line="360" w:lineRule="auto"/>
        <w:jc w:val="both"/>
        <w:rPr>
          <w:rFonts w:ascii="Arial" w:hAnsi="Arial"/>
          <w:b/>
          <w:bCs/>
          <w:noProof w:val="0"/>
          <w:rtl/>
        </w:rPr>
      </w:pPr>
      <w:r>
        <w:rPr>
          <w:rFonts w:ascii="Arial" w:hAnsi="Arial" w:hint="cs"/>
          <w:noProof w:val="0"/>
          <w:rtl/>
        </w:rPr>
        <w:t>"</w:t>
      </w:r>
      <w:r w:rsidR="00132B2A">
        <w:rPr>
          <w:rFonts w:ascii="Arial" w:hAnsi="Arial" w:hint="cs"/>
          <w:noProof w:val="0"/>
          <w:rtl/>
        </w:rPr>
        <w:t>1</w:t>
      </w:r>
      <w:r w:rsidR="00132B2A" w:rsidRPr="00132B2A">
        <w:rPr>
          <w:rFonts w:ascii="Arial" w:hAnsi="Arial" w:hint="cs"/>
          <w:b/>
          <w:bCs/>
          <w:noProof w:val="0"/>
          <w:rtl/>
        </w:rPr>
        <w:t>.</w:t>
      </w:r>
      <w:r w:rsidRPr="00132B2A">
        <w:rPr>
          <w:rFonts w:ascii="Arial" w:hAnsi="Arial" w:hint="cs"/>
          <w:b/>
          <w:bCs/>
          <w:noProof w:val="0"/>
          <w:rtl/>
        </w:rPr>
        <w:t>לאחר עיון חוזר בערעור ו</w:t>
      </w:r>
      <w:r w:rsidR="00132B2A" w:rsidRPr="00132B2A">
        <w:rPr>
          <w:rFonts w:ascii="Arial" w:hAnsi="Arial" w:hint="cs"/>
          <w:b/>
          <w:bCs/>
          <w:noProof w:val="0"/>
          <w:rtl/>
        </w:rPr>
        <w:t>בפסק  הדין, אבקש כי המערערת תנמק תוך 7 ימים מדוע לא היה מקום להגשת בקשת רשות ערעור חלף ערעור בזכות, זאת בשים לב לכך שמד</w:t>
      </w:r>
      <w:r w:rsidR="00132B2A">
        <w:rPr>
          <w:rFonts w:ascii="Arial" w:hAnsi="Arial" w:hint="cs"/>
          <w:b/>
          <w:bCs/>
          <w:noProof w:val="0"/>
          <w:rtl/>
        </w:rPr>
        <w:t>ו</w:t>
      </w:r>
      <w:r w:rsidR="00132B2A" w:rsidRPr="00132B2A">
        <w:rPr>
          <w:rFonts w:ascii="Arial" w:hAnsi="Arial" w:hint="cs"/>
          <w:b/>
          <w:bCs/>
          <w:noProof w:val="0"/>
          <w:rtl/>
        </w:rPr>
        <w:t>בר בעיכוב הליכים עקב תניית בוררות</w:t>
      </w:r>
      <w:r w:rsidR="00132B2A">
        <w:rPr>
          <w:rFonts w:ascii="Arial" w:hAnsi="Arial" w:hint="cs"/>
          <w:b/>
          <w:bCs/>
          <w:noProof w:val="0"/>
          <w:rtl/>
        </w:rPr>
        <w:t xml:space="preserve"> </w:t>
      </w:r>
      <w:r w:rsidR="00132B2A" w:rsidRPr="00132B2A">
        <w:rPr>
          <w:rFonts w:ascii="Arial" w:hAnsi="Arial" w:hint="cs"/>
          <w:b/>
          <w:bCs/>
          <w:noProof w:val="0"/>
          <w:rtl/>
        </w:rPr>
        <w:t>(יחד עם הוראה המבטלת היתר המצאה) ולנוכח הוראת סעיף 38 לחוק הבוררות התשכ"ח- 1968.</w:t>
      </w:r>
    </w:p>
    <w:p w:rsidR="00132B2A" w:rsidRDefault="00132B2A" w:rsidP="00132B2A">
      <w:pPr>
        <w:pStyle w:val="ad"/>
        <w:spacing w:line="360" w:lineRule="auto"/>
        <w:jc w:val="both"/>
        <w:rPr>
          <w:rFonts w:ascii="Arial" w:hAnsi="Arial"/>
          <w:b/>
          <w:bCs/>
          <w:noProof w:val="0"/>
          <w:rtl/>
        </w:rPr>
      </w:pPr>
      <w:r w:rsidRPr="00132B2A">
        <w:rPr>
          <w:rFonts w:ascii="Arial" w:hAnsi="Arial" w:hint="cs"/>
          <w:b/>
          <w:bCs/>
          <w:noProof w:val="0"/>
          <w:rtl/>
        </w:rPr>
        <w:t xml:space="preserve"> 2.המערערת מופנית בעניין זה לפסק דינה של כב' רשמת בית המשפט העליון שרית עבדיאן במסגרת ע"א 8130/19 סאן שיין מעליסה בע"מ נ </w:t>
      </w:r>
      <w:r w:rsidRPr="00132B2A">
        <w:rPr>
          <w:rFonts w:ascii="Arial" w:hAnsi="Arial" w:hint="cs"/>
          <w:b/>
          <w:bCs/>
          <w:noProof w:val="0"/>
        </w:rPr>
        <w:t>RIO GRANDE INC</w:t>
      </w:r>
      <w:r w:rsidRPr="00132B2A">
        <w:rPr>
          <w:rFonts w:ascii="Arial" w:hAnsi="Arial" w:hint="cs"/>
          <w:b/>
          <w:bCs/>
          <w:noProof w:val="0"/>
          <w:rtl/>
        </w:rPr>
        <w:t>.</w:t>
      </w:r>
    </w:p>
    <w:p w:rsidR="00132B2A" w:rsidRPr="00132B2A" w:rsidRDefault="00132B2A" w:rsidP="00132B2A">
      <w:pPr>
        <w:pStyle w:val="ad"/>
        <w:spacing w:line="360" w:lineRule="auto"/>
        <w:jc w:val="both"/>
        <w:rPr>
          <w:rFonts w:ascii="Arial" w:hAnsi="Arial"/>
          <w:b/>
          <w:bCs/>
          <w:noProof w:val="0"/>
          <w:rtl/>
        </w:rPr>
      </w:pPr>
      <w:r>
        <w:rPr>
          <w:rFonts w:ascii="Arial" w:hAnsi="Arial" w:hint="cs"/>
          <w:b/>
          <w:bCs/>
          <w:noProof w:val="0"/>
          <w:rtl/>
        </w:rPr>
        <w:t>3</w:t>
      </w:r>
      <w:r w:rsidRPr="00132B2A">
        <w:rPr>
          <w:rFonts w:ascii="Arial" w:hAnsi="Arial" w:hint="cs"/>
          <w:b/>
          <w:bCs/>
          <w:noProof w:val="0"/>
          <w:rtl/>
        </w:rPr>
        <w:t xml:space="preserve">. אני מעכבת עד להחלטה אחרת את החלטתי מיום 21.5.2023 </w:t>
      </w:r>
      <w:r w:rsidR="00FE17E9">
        <w:rPr>
          <w:rFonts w:ascii="Arial" w:hAnsi="Arial" w:hint="cs"/>
          <w:b/>
          <w:bCs/>
          <w:noProof w:val="0"/>
          <w:rtl/>
        </w:rPr>
        <w:t>ב</w:t>
      </w:r>
      <w:r w:rsidRPr="00132B2A">
        <w:rPr>
          <w:rFonts w:ascii="Arial" w:hAnsi="Arial" w:hint="cs"/>
          <w:b/>
          <w:bCs/>
          <w:noProof w:val="0"/>
          <w:rtl/>
        </w:rPr>
        <w:t>דבר הגשת תשובה מצד המשיבה לערעור</w:t>
      </w:r>
      <w:r>
        <w:rPr>
          <w:rFonts w:ascii="Arial" w:hAnsi="Arial" w:hint="cs"/>
          <w:b/>
          <w:bCs/>
          <w:noProof w:val="0"/>
          <w:rtl/>
        </w:rPr>
        <w:t>"</w:t>
      </w:r>
      <w:r w:rsidRPr="00132B2A">
        <w:rPr>
          <w:rFonts w:ascii="Arial" w:hAnsi="Arial" w:hint="cs"/>
          <w:b/>
          <w:bCs/>
          <w:noProof w:val="0"/>
          <w:rtl/>
        </w:rPr>
        <w:t>.</w:t>
      </w:r>
    </w:p>
    <w:p w:rsidR="000D1B3F" w:rsidRDefault="000D1B3F" w:rsidP="00132B2A">
      <w:pPr>
        <w:pStyle w:val="ad"/>
        <w:spacing w:line="360" w:lineRule="auto"/>
        <w:jc w:val="both"/>
        <w:rPr>
          <w:rFonts w:ascii="Arial" w:hAnsi="Arial"/>
          <w:noProof w:val="0"/>
          <w:rtl/>
        </w:rPr>
      </w:pPr>
    </w:p>
    <w:p w:rsidR="00204D8C" w:rsidRDefault="00B7267C" w:rsidP="00FE17E9">
      <w:pPr>
        <w:pStyle w:val="ad"/>
        <w:numPr>
          <w:ilvl w:val="0"/>
          <w:numId w:val="1"/>
        </w:numPr>
        <w:spacing w:line="360" w:lineRule="auto"/>
        <w:jc w:val="both"/>
        <w:rPr>
          <w:rFonts w:ascii="Arial" w:hAnsi="Arial"/>
          <w:noProof w:val="0"/>
        </w:rPr>
      </w:pPr>
      <w:r>
        <w:rPr>
          <w:rFonts w:ascii="Arial" w:hAnsi="Arial" w:hint="cs"/>
          <w:noProof w:val="0"/>
          <w:rtl/>
        </w:rPr>
        <w:t>ביום 5.6.</w:t>
      </w:r>
      <w:r w:rsidR="00FE17E9">
        <w:rPr>
          <w:rFonts w:ascii="Arial" w:hAnsi="Arial" w:hint="cs"/>
          <w:noProof w:val="0"/>
          <w:rtl/>
        </w:rPr>
        <w:t>2023</w:t>
      </w:r>
      <w:r>
        <w:rPr>
          <w:rFonts w:ascii="Arial" w:hAnsi="Arial" w:hint="cs"/>
          <w:noProof w:val="0"/>
          <w:rtl/>
        </w:rPr>
        <w:t xml:space="preserve"> </w:t>
      </w:r>
      <w:r w:rsidR="000D1B3F">
        <w:rPr>
          <w:rFonts w:ascii="Arial" w:hAnsi="Arial" w:hint="cs"/>
          <w:noProof w:val="0"/>
          <w:rtl/>
        </w:rPr>
        <w:t>הגישה המבקשת את נימוקיה. ב</w:t>
      </w:r>
      <w:r>
        <w:rPr>
          <w:rFonts w:ascii="Arial" w:hAnsi="Arial" w:hint="cs"/>
          <w:noProof w:val="0"/>
          <w:rtl/>
        </w:rPr>
        <w:t xml:space="preserve">סעיף 13 </w:t>
      </w:r>
      <w:r w:rsidR="000D1B3F">
        <w:rPr>
          <w:rFonts w:ascii="Arial" w:hAnsi="Arial" w:hint="cs"/>
          <w:noProof w:val="0"/>
          <w:rtl/>
        </w:rPr>
        <w:t>ביקשה כדלקמן:</w:t>
      </w:r>
      <w:r w:rsidR="00204D8C">
        <w:rPr>
          <w:rFonts w:ascii="Arial" w:hAnsi="Arial" w:hint="cs"/>
          <w:noProof w:val="0"/>
          <w:rtl/>
        </w:rPr>
        <w:t xml:space="preserve"> </w:t>
      </w:r>
      <w:r w:rsidR="000D1B3F" w:rsidRPr="00204D8C">
        <w:rPr>
          <w:rFonts w:ascii="Arial" w:hAnsi="Arial" w:hint="cs"/>
          <w:b/>
          <w:bCs/>
          <w:noProof w:val="0"/>
          <w:rtl/>
        </w:rPr>
        <w:t>"לחילופין, היה והח"מ פירש לא נכ</w:t>
      </w:r>
      <w:r w:rsidR="00204D8C" w:rsidRPr="00204D8C">
        <w:rPr>
          <w:rFonts w:ascii="Arial" w:hAnsi="Arial" w:hint="cs"/>
          <w:b/>
          <w:bCs/>
          <w:noProof w:val="0"/>
          <w:rtl/>
        </w:rPr>
        <w:t>ו</w:t>
      </w:r>
      <w:r w:rsidR="000D1B3F" w:rsidRPr="00204D8C">
        <w:rPr>
          <w:rFonts w:ascii="Arial" w:hAnsi="Arial" w:hint="cs"/>
          <w:b/>
          <w:bCs/>
          <w:noProof w:val="0"/>
          <w:rtl/>
        </w:rPr>
        <w:t>נה את המצב המשפטי ובית</w:t>
      </w:r>
      <w:r w:rsidR="00204D8C" w:rsidRPr="00204D8C">
        <w:rPr>
          <w:rFonts w:ascii="Arial" w:hAnsi="Arial" w:hint="cs"/>
          <w:b/>
          <w:bCs/>
          <w:noProof w:val="0"/>
          <w:rtl/>
        </w:rPr>
        <w:t xml:space="preserve"> המשפט יחליט שאין למערערת זכות להגיש ערעור בזכות על פסק הדין של בית משפט קמא, מתבקש כבוד בית המשפט לדון בערעור כבקשת רשות ערעור לפי תקנה 149(4) לתקנות סדר הדין האזרחי, תשע"ט </w:t>
      </w:r>
      <w:r w:rsidR="00204D8C" w:rsidRPr="00204D8C">
        <w:rPr>
          <w:rFonts w:ascii="Arial" w:hAnsi="Arial"/>
          <w:b/>
          <w:bCs/>
          <w:noProof w:val="0"/>
          <w:rtl/>
        </w:rPr>
        <w:t>–</w:t>
      </w:r>
      <w:r w:rsidR="00204D8C" w:rsidRPr="00204D8C">
        <w:rPr>
          <w:rFonts w:ascii="Arial" w:hAnsi="Arial" w:hint="cs"/>
          <w:b/>
          <w:bCs/>
          <w:noProof w:val="0"/>
          <w:rtl/>
        </w:rPr>
        <w:t xml:space="preserve"> 2018 ולדון בבקשה כאילו ניתנה רשות והוגש ערעור לפי הרשות שניתנה לפי תקנה 149 (2) (ב) לתקנות. יוער כי כתב הערעור כולל את מלוא טענות המערערת ונימוקי ההתנגדות להחלטה וכן את המסמכים התומכים בהן". </w:t>
      </w:r>
    </w:p>
    <w:p w:rsidR="00204D8C" w:rsidRDefault="00204D8C" w:rsidP="00204D8C">
      <w:pPr>
        <w:pStyle w:val="ad"/>
        <w:spacing w:line="360" w:lineRule="auto"/>
        <w:jc w:val="both"/>
        <w:rPr>
          <w:rFonts w:ascii="Arial" w:hAnsi="Arial"/>
          <w:noProof w:val="0"/>
        </w:rPr>
      </w:pPr>
    </w:p>
    <w:p w:rsidR="00204D8C" w:rsidRDefault="00606E21" w:rsidP="00204D8C">
      <w:pPr>
        <w:pStyle w:val="ad"/>
        <w:numPr>
          <w:ilvl w:val="0"/>
          <w:numId w:val="1"/>
        </w:numPr>
        <w:spacing w:line="360" w:lineRule="auto"/>
        <w:jc w:val="both"/>
        <w:rPr>
          <w:rFonts w:ascii="Arial" w:hAnsi="Arial"/>
          <w:noProof w:val="0"/>
        </w:rPr>
      </w:pPr>
      <w:r w:rsidRPr="000D1B3F">
        <w:rPr>
          <w:rFonts w:ascii="Arial" w:hAnsi="Arial" w:hint="cs"/>
          <w:noProof w:val="0"/>
          <w:rtl/>
        </w:rPr>
        <w:t>בהמשך, התבקשה התייחסות המשיבה</w:t>
      </w:r>
      <w:r w:rsidR="00204D8C">
        <w:rPr>
          <w:rFonts w:ascii="Arial" w:hAnsi="Arial" w:hint="cs"/>
          <w:noProof w:val="0"/>
          <w:rtl/>
        </w:rPr>
        <w:t xml:space="preserve"> וזו הוגשה. </w:t>
      </w:r>
    </w:p>
    <w:p w:rsidR="00204D8C" w:rsidRPr="00204D8C" w:rsidRDefault="00204D8C" w:rsidP="00204D8C">
      <w:pPr>
        <w:pStyle w:val="ad"/>
        <w:rPr>
          <w:rFonts w:ascii="Arial" w:hAnsi="Arial"/>
          <w:noProof w:val="0"/>
          <w:rtl/>
        </w:rPr>
      </w:pPr>
    </w:p>
    <w:p w:rsidR="00BC2886" w:rsidRDefault="00204D8C" w:rsidP="00FE17E9">
      <w:pPr>
        <w:pStyle w:val="ad"/>
        <w:numPr>
          <w:ilvl w:val="0"/>
          <w:numId w:val="1"/>
        </w:numPr>
        <w:spacing w:line="360" w:lineRule="auto"/>
        <w:jc w:val="both"/>
        <w:rPr>
          <w:rFonts w:ascii="Arial" w:hAnsi="Arial"/>
          <w:noProof w:val="0"/>
        </w:rPr>
      </w:pPr>
      <w:r w:rsidRPr="00204D8C">
        <w:rPr>
          <w:rFonts w:ascii="Arial" w:hAnsi="Arial" w:hint="cs"/>
          <w:noProof w:val="0"/>
          <w:rtl/>
        </w:rPr>
        <w:t>ביום 15.6.2023 הורתה כב</w:t>
      </w:r>
      <w:r w:rsidR="00FD6A83">
        <w:rPr>
          <w:rFonts w:ascii="Arial" w:hAnsi="Arial" w:hint="cs"/>
          <w:noProof w:val="0"/>
          <w:rtl/>
        </w:rPr>
        <w:t>' השופטת גרוסמן על מחיקת הערעור.</w:t>
      </w:r>
      <w:r w:rsidRPr="00204D8C">
        <w:rPr>
          <w:rFonts w:ascii="Arial" w:hAnsi="Arial" w:hint="cs"/>
          <w:noProof w:val="0"/>
          <w:rtl/>
        </w:rPr>
        <w:t xml:space="preserve"> זאת לאחר שקבעה כי </w:t>
      </w:r>
      <w:r w:rsidR="00606E21" w:rsidRPr="00204D8C">
        <w:rPr>
          <w:rFonts w:ascii="Arial" w:hAnsi="Arial" w:hint="cs"/>
          <w:noProof w:val="0"/>
          <w:rtl/>
        </w:rPr>
        <w:t xml:space="preserve"> </w:t>
      </w:r>
      <w:r w:rsidRPr="00204D8C">
        <w:rPr>
          <w:rFonts w:ascii="Arial" w:hAnsi="Arial" w:hint="cs"/>
          <w:noProof w:val="0"/>
          <w:rtl/>
        </w:rPr>
        <w:t xml:space="preserve">על המבקשת היה להגיש בקשת רשות ערעור ולא ערעור בזכות. </w:t>
      </w:r>
    </w:p>
    <w:p w:rsidR="00FE17E9" w:rsidRPr="00FE17E9" w:rsidRDefault="00FE17E9" w:rsidP="00FE17E9">
      <w:pPr>
        <w:spacing w:line="360" w:lineRule="auto"/>
        <w:jc w:val="both"/>
        <w:rPr>
          <w:rFonts w:ascii="Arial" w:hAnsi="Arial"/>
          <w:noProof w:val="0"/>
        </w:rPr>
      </w:pPr>
    </w:p>
    <w:p w:rsidR="00BC2886" w:rsidRDefault="00BC2886" w:rsidP="00EE3CE8">
      <w:pPr>
        <w:pStyle w:val="ad"/>
        <w:numPr>
          <w:ilvl w:val="0"/>
          <w:numId w:val="1"/>
        </w:numPr>
        <w:spacing w:line="360" w:lineRule="auto"/>
        <w:jc w:val="both"/>
        <w:rPr>
          <w:rFonts w:ascii="Arial" w:hAnsi="Arial"/>
          <w:noProof w:val="0"/>
        </w:rPr>
      </w:pPr>
      <w:r>
        <w:rPr>
          <w:rFonts w:ascii="Arial" w:hAnsi="Arial" w:hint="cs"/>
          <w:noProof w:val="0"/>
          <w:rtl/>
        </w:rPr>
        <w:t>ביום 25.6.2023 הגישה המבקשת את בקשתה להארכת מועד להגשת בקשת רשות הערעור.</w:t>
      </w:r>
    </w:p>
    <w:p w:rsidR="00BC2886" w:rsidRDefault="00BC2886" w:rsidP="00BC2886">
      <w:pPr>
        <w:spacing w:line="360" w:lineRule="auto"/>
        <w:ind w:left="360"/>
        <w:jc w:val="both"/>
        <w:rPr>
          <w:rFonts w:ascii="Arial" w:hAnsi="Arial"/>
          <w:noProof w:val="0"/>
          <w:rtl/>
        </w:rPr>
      </w:pPr>
    </w:p>
    <w:p w:rsidR="00BC2886" w:rsidRPr="00BC2886" w:rsidRDefault="00BC2886" w:rsidP="006C0A76">
      <w:pPr>
        <w:spacing w:line="360" w:lineRule="auto"/>
        <w:ind w:left="360"/>
        <w:jc w:val="both"/>
        <w:rPr>
          <w:rFonts w:ascii="Arial" w:hAnsi="Arial"/>
          <w:b/>
          <w:bCs/>
          <w:noProof w:val="0"/>
          <w:u w:val="single"/>
        </w:rPr>
      </w:pPr>
      <w:r w:rsidRPr="00BC2886">
        <w:rPr>
          <w:rFonts w:ascii="Arial" w:hAnsi="Arial" w:hint="cs"/>
          <w:b/>
          <w:bCs/>
          <w:noProof w:val="0"/>
          <w:u w:val="single"/>
          <w:rtl/>
        </w:rPr>
        <w:t>טענות ה</w:t>
      </w:r>
      <w:r w:rsidR="006C0A76">
        <w:rPr>
          <w:rFonts w:ascii="Arial" w:hAnsi="Arial" w:hint="cs"/>
          <w:b/>
          <w:bCs/>
          <w:noProof w:val="0"/>
          <w:u w:val="single"/>
          <w:rtl/>
        </w:rPr>
        <w:t>צדדים</w:t>
      </w:r>
    </w:p>
    <w:p w:rsidR="00204D8C" w:rsidRPr="00204D8C" w:rsidRDefault="00204D8C" w:rsidP="00204D8C">
      <w:pPr>
        <w:pStyle w:val="ad"/>
        <w:spacing w:line="360" w:lineRule="auto"/>
        <w:jc w:val="both"/>
        <w:rPr>
          <w:rFonts w:ascii="Arial" w:hAnsi="Arial"/>
          <w:noProof w:val="0"/>
        </w:rPr>
      </w:pPr>
    </w:p>
    <w:p w:rsidR="00606E21" w:rsidRDefault="00A2337E" w:rsidP="00AE2DA5">
      <w:pPr>
        <w:pStyle w:val="ad"/>
        <w:numPr>
          <w:ilvl w:val="0"/>
          <w:numId w:val="1"/>
        </w:numPr>
        <w:spacing w:line="360" w:lineRule="auto"/>
        <w:jc w:val="both"/>
        <w:rPr>
          <w:rFonts w:ascii="Arial" w:hAnsi="Arial"/>
          <w:noProof w:val="0"/>
        </w:rPr>
      </w:pPr>
      <w:r>
        <w:rPr>
          <w:rFonts w:ascii="Arial" w:hAnsi="Arial" w:hint="cs"/>
          <w:noProof w:val="0"/>
          <w:rtl/>
        </w:rPr>
        <w:t>המבקשת</w:t>
      </w:r>
      <w:r w:rsidR="00BC2886">
        <w:rPr>
          <w:rFonts w:ascii="Arial" w:hAnsi="Arial" w:hint="cs"/>
          <w:noProof w:val="0"/>
          <w:rtl/>
        </w:rPr>
        <w:t xml:space="preserve"> טענה כי </w:t>
      </w:r>
      <w:r w:rsidR="004705E6">
        <w:rPr>
          <w:rFonts w:ascii="Arial" w:hAnsi="Arial" w:hint="cs"/>
          <w:noProof w:val="0"/>
          <w:rtl/>
        </w:rPr>
        <w:t xml:space="preserve">לאור השתלשלות העניינים שתוארה לעיל </w:t>
      </w:r>
      <w:r w:rsidR="002D04BE">
        <w:rPr>
          <w:rFonts w:ascii="Arial" w:hAnsi="Arial" w:hint="cs"/>
          <w:noProof w:val="0"/>
          <w:rtl/>
        </w:rPr>
        <w:t>,</w:t>
      </w:r>
      <w:r w:rsidR="004705E6">
        <w:rPr>
          <w:rFonts w:ascii="Arial" w:hAnsi="Arial" w:hint="cs"/>
          <w:noProof w:val="0"/>
          <w:rtl/>
        </w:rPr>
        <w:t xml:space="preserve">יש </w:t>
      </w:r>
      <w:r w:rsidR="00BC2886">
        <w:rPr>
          <w:rFonts w:ascii="Arial" w:hAnsi="Arial" w:hint="cs"/>
          <w:noProof w:val="0"/>
          <w:rtl/>
        </w:rPr>
        <w:t xml:space="preserve"> להיעתר לבקשה להארכת מועד כדי למנוע עיוות דין. לטענתה</w:t>
      </w:r>
      <w:r w:rsidR="002D04BE">
        <w:rPr>
          <w:rFonts w:ascii="Arial" w:hAnsi="Arial" w:hint="cs"/>
          <w:noProof w:val="0"/>
          <w:rtl/>
        </w:rPr>
        <w:t>,</w:t>
      </w:r>
      <w:r w:rsidR="00BC2886">
        <w:rPr>
          <w:rFonts w:ascii="Arial" w:hAnsi="Arial" w:hint="cs"/>
          <w:noProof w:val="0"/>
          <w:rtl/>
        </w:rPr>
        <w:t xml:space="preserve"> עם סילוק הערעור על הסף ייווצר מצב לפיו הטענות </w:t>
      </w:r>
      <w:r w:rsidR="00BC2886">
        <w:rPr>
          <w:rFonts w:ascii="Arial" w:hAnsi="Arial" w:hint="cs"/>
          <w:noProof w:val="0"/>
          <w:rtl/>
        </w:rPr>
        <w:lastRenderedPageBreak/>
        <w:t xml:space="preserve">המשפטיות ייחרצו על בסיס פרוצדורלי בלבד </w:t>
      </w:r>
      <w:r w:rsidR="002A2AF8">
        <w:rPr>
          <w:rFonts w:ascii="Arial" w:hAnsi="Arial" w:hint="cs"/>
          <w:noProof w:val="0"/>
          <w:rtl/>
        </w:rPr>
        <w:t>ללא</w:t>
      </w:r>
      <w:r w:rsidR="00BC2886">
        <w:rPr>
          <w:rFonts w:ascii="Arial" w:hAnsi="Arial" w:hint="cs"/>
          <w:noProof w:val="0"/>
          <w:rtl/>
        </w:rPr>
        <w:t xml:space="preserve"> הליך ראוי והוגן בבית המשפט המחוזי כדי להגיע לחקר האמת ולהשיג תוצאה נכונה ופתרון צודק של הסכסוך לפי עקרונות היסוד של תקנות סדר הדין האזרחי. </w:t>
      </w:r>
      <w:r w:rsidR="004705E6">
        <w:rPr>
          <w:rFonts w:ascii="Arial" w:hAnsi="Arial" w:hint="cs"/>
          <w:noProof w:val="0"/>
          <w:rtl/>
        </w:rPr>
        <w:t xml:space="preserve">היא </w:t>
      </w:r>
      <w:r w:rsidR="00E353F8">
        <w:rPr>
          <w:rFonts w:ascii="Arial" w:hAnsi="Arial" w:hint="cs"/>
          <w:noProof w:val="0"/>
          <w:rtl/>
        </w:rPr>
        <w:t xml:space="preserve">הפנתה לסעיף 13 לנימוקים שהוגשו על ידה </w:t>
      </w:r>
      <w:r w:rsidR="002A2AF8">
        <w:rPr>
          <w:rFonts w:ascii="Arial" w:hAnsi="Arial" w:hint="cs"/>
          <w:noProof w:val="0"/>
          <w:rtl/>
        </w:rPr>
        <w:t>בהתאם להחלטת כב' השופטת גרוסמן בו התבקש בית המשפט</w:t>
      </w:r>
      <w:r w:rsidR="00E353F8">
        <w:rPr>
          <w:rFonts w:ascii="Arial" w:hAnsi="Arial" w:hint="cs"/>
          <w:noProof w:val="0"/>
          <w:rtl/>
        </w:rPr>
        <w:t xml:space="preserve"> כי </w:t>
      </w:r>
      <w:r w:rsidR="004705E6">
        <w:rPr>
          <w:rFonts w:ascii="Arial" w:hAnsi="Arial" w:hint="cs"/>
          <w:noProof w:val="0"/>
          <w:rtl/>
        </w:rPr>
        <w:t>במקרה ש</w:t>
      </w:r>
      <w:r w:rsidR="00873140">
        <w:rPr>
          <w:rFonts w:ascii="Arial" w:hAnsi="Arial" w:hint="cs"/>
          <w:noProof w:val="0"/>
          <w:rtl/>
        </w:rPr>
        <w:t>בא כוחה לא פירש נכונה את המצב הפרוצדורלי</w:t>
      </w:r>
      <w:r w:rsidR="002A2AF8">
        <w:rPr>
          <w:rFonts w:ascii="Arial" w:hAnsi="Arial" w:hint="cs"/>
          <w:noProof w:val="0"/>
          <w:rtl/>
        </w:rPr>
        <w:t xml:space="preserve">, יראו </w:t>
      </w:r>
      <w:r w:rsidR="00873140">
        <w:rPr>
          <w:rFonts w:ascii="Arial" w:hAnsi="Arial" w:hint="cs"/>
          <w:noProof w:val="0"/>
          <w:rtl/>
        </w:rPr>
        <w:t>בערעור שהוגש כבקשת רשות ערעור.</w:t>
      </w:r>
      <w:r w:rsidR="00F92D5E">
        <w:rPr>
          <w:rFonts w:ascii="Arial" w:hAnsi="Arial" w:hint="cs"/>
          <w:noProof w:val="0"/>
          <w:rtl/>
        </w:rPr>
        <w:t xml:space="preserve"> </w:t>
      </w:r>
      <w:r w:rsidR="00873140">
        <w:rPr>
          <w:rFonts w:ascii="Arial" w:hAnsi="Arial" w:hint="cs"/>
          <w:noProof w:val="0"/>
          <w:rtl/>
        </w:rPr>
        <w:t>בה</w:t>
      </w:r>
      <w:r w:rsidR="002A2AF8">
        <w:rPr>
          <w:rFonts w:ascii="Arial" w:hAnsi="Arial" w:hint="cs"/>
          <w:noProof w:val="0"/>
          <w:rtl/>
        </w:rPr>
        <w:t xml:space="preserve">משך, טענה המבקשת בקצרה גם לגופו </w:t>
      </w:r>
      <w:r w:rsidR="00873140">
        <w:rPr>
          <w:rFonts w:ascii="Arial" w:hAnsi="Arial" w:hint="cs"/>
          <w:noProof w:val="0"/>
          <w:rtl/>
        </w:rPr>
        <w:t xml:space="preserve">של פסק הדין ונימקה מדוע יש לקבל </w:t>
      </w:r>
      <w:r w:rsidR="002A2AF8">
        <w:rPr>
          <w:rFonts w:ascii="Arial" w:hAnsi="Arial" w:hint="cs"/>
          <w:noProof w:val="0"/>
          <w:rtl/>
        </w:rPr>
        <w:t xml:space="preserve">את </w:t>
      </w:r>
      <w:r w:rsidR="004705E6">
        <w:rPr>
          <w:rFonts w:ascii="Arial" w:hAnsi="Arial" w:hint="cs"/>
          <w:noProof w:val="0"/>
          <w:rtl/>
        </w:rPr>
        <w:t>בקשת רשות</w:t>
      </w:r>
      <w:r w:rsidR="00873140">
        <w:rPr>
          <w:rFonts w:ascii="Arial" w:hAnsi="Arial" w:hint="cs"/>
          <w:noProof w:val="0"/>
          <w:rtl/>
        </w:rPr>
        <w:t xml:space="preserve"> הערעור</w:t>
      </w:r>
      <w:r w:rsidR="002A2AF8">
        <w:rPr>
          <w:rFonts w:ascii="Arial" w:hAnsi="Arial" w:hint="cs"/>
          <w:noProof w:val="0"/>
          <w:rtl/>
        </w:rPr>
        <w:t>.</w:t>
      </w:r>
    </w:p>
    <w:p w:rsidR="00873140" w:rsidRPr="00873140" w:rsidRDefault="00873140" w:rsidP="00873140">
      <w:pPr>
        <w:pStyle w:val="ad"/>
        <w:rPr>
          <w:rFonts w:ascii="Arial" w:hAnsi="Arial"/>
          <w:noProof w:val="0"/>
          <w:rtl/>
        </w:rPr>
      </w:pPr>
    </w:p>
    <w:p w:rsidR="007B7D74" w:rsidRDefault="00883C24" w:rsidP="00AE2DA5">
      <w:pPr>
        <w:pStyle w:val="ad"/>
        <w:numPr>
          <w:ilvl w:val="0"/>
          <w:numId w:val="1"/>
        </w:numPr>
        <w:spacing w:line="360" w:lineRule="auto"/>
        <w:jc w:val="both"/>
        <w:rPr>
          <w:rFonts w:ascii="Arial" w:hAnsi="Arial"/>
          <w:noProof w:val="0"/>
        </w:rPr>
      </w:pPr>
      <w:r>
        <w:rPr>
          <w:rFonts w:ascii="Arial" w:hAnsi="Arial" w:hint="cs"/>
          <w:noProof w:val="0"/>
          <w:rtl/>
        </w:rPr>
        <w:t>המשיבה התנגדה למבוקש וטענה כי יש לסלק את הבקשה על הסף מקום בו הוגשה כ-3.5 חודשים לאחר שחלף המועד להגשת בקשת רשות ערעור. בנוסף, טענה כי יש לסלק את הבקשה גם לגופה מאחר שלא קיים בענייננו טעם מיוחד להארכת מועד וכי בפסיקה נקבע כי רשות ערעור בענייני בוררות תינתן רק במקרים חריגים, אשר המקרה דנן אינו נמנה עליהם. לדבריה, הבקשה אף לא נתמכה בתצהיר.</w:t>
      </w:r>
      <w:r w:rsidR="007B7D74">
        <w:rPr>
          <w:rFonts w:ascii="Arial" w:hAnsi="Arial" w:hint="cs"/>
          <w:noProof w:val="0"/>
          <w:rtl/>
        </w:rPr>
        <w:t xml:space="preserve"> </w:t>
      </w:r>
      <w:r w:rsidR="007E0088">
        <w:rPr>
          <w:rFonts w:ascii="Arial" w:hAnsi="Arial" w:hint="cs"/>
          <w:noProof w:val="0"/>
          <w:rtl/>
        </w:rPr>
        <w:t xml:space="preserve">המשיבה הפנתה לע"א 8130/19 </w:t>
      </w:r>
      <w:r w:rsidR="007E0088" w:rsidRPr="0023131C">
        <w:rPr>
          <w:rFonts w:ascii="Arial" w:hAnsi="Arial" w:hint="cs"/>
          <w:b/>
          <w:bCs/>
          <w:noProof w:val="0"/>
          <w:rtl/>
        </w:rPr>
        <w:t>סאן שיין</w:t>
      </w:r>
      <w:r w:rsidR="0023131C" w:rsidRPr="0023131C">
        <w:rPr>
          <w:rFonts w:ascii="Arial" w:hAnsi="Arial" w:hint="cs"/>
          <w:b/>
          <w:bCs/>
          <w:noProof w:val="0"/>
          <w:rtl/>
        </w:rPr>
        <w:t xml:space="preserve"> מעליסה בע"מ נ' </w:t>
      </w:r>
      <w:r w:rsidR="0023131C" w:rsidRPr="0023131C">
        <w:rPr>
          <w:rFonts w:ascii="Arial" w:hAnsi="Arial"/>
          <w:b/>
          <w:bCs/>
          <w:noProof w:val="0"/>
        </w:rPr>
        <w:t>RIO GRANDE INC</w:t>
      </w:r>
      <w:r w:rsidR="0023131C" w:rsidRPr="0023131C">
        <w:rPr>
          <w:rFonts w:ascii="Arial" w:hAnsi="Arial" w:hint="cs"/>
          <w:b/>
          <w:bCs/>
          <w:noProof w:val="0"/>
          <w:rtl/>
        </w:rPr>
        <w:t xml:space="preserve"> ואח'</w:t>
      </w:r>
      <w:r w:rsidR="0023131C">
        <w:rPr>
          <w:rFonts w:ascii="Arial" w:hAnsi="Arial" w:hint="cs"/>
          <w:noProof w:val="0"/>
          <w:rtl/>
        </w:rPr>
        <w:t xml:space="preserve"> (פורסם בנבו, 21.7.2020), להלן: "עניין סאנשיין") </w:t>
      </w:r>
      <w:r w:rsidR="00AE2DA5">
        <w:rPr>
          <w:rFonts w:ascii="Arial" w:hAnsi="Arial" w:hint="cs"/>
          <w:noProof w:val="0"/>
          <w:rtl/>
        </w:rPr>
        <w:t>שנזכר בהחלטה</w:t>
      </w:r>
      <w:r w:rsidR="0023131C">
        <w:rPr>
          <w:rFonts w:ascii="Arial" w:hAnsi="Arial" w:hint="cs"/>
          <w:noProof w:val="0"/>
          <w:rtl/>
        </w:rPr>
        <w:t xml:space="preserve"> מיום 22.5.23 </w:t>
      </w:r>
      <w:r w:rsidR="00763961">
        <w:rPr>
          <w:rFonts w:ascii="Arial" w:hAnsi="Arial" w:hint="cs"/>
          <w:noProof w:val="0"/>
          <w:rtl/>
        </w:rPr>
        <w:t xml:space="preserve">ובו נקבע כי הדרך לערער על פסק דין לפי סעיף 38 לחוק הבוררות היא </w:t>
      </w:r>
      <w:r w:rsidR="00AE2DA5">
        <w:rPr>
          <w:rFonts w:ascii="Arial" w:hAnsi="Arial" w:hint="cs"/>
          <w:noProof w:val="0"/>
          <w:rtl/>
        </w:rPr>
        <w:t xml:space="preserve">הגשת </w:t>
      </w:r>
      <w:r w:rsidR="00763961">
        <w:rPr>
          <w:rFonts w:ascii="Arial" w:hAnsi="Arial" w:hint="cs"/>
          <w:noProof w:val="0"/>
          <w:rtl/>
        </w:rPr>
        <w:t xml:space="preserve">בקשת רשות ערעור ולא ערעור בזכות. </w:t>
      </w:r>
      <w:r w:rsidR="007B7D74">
        <w:rPr>
          <w:rFonts w:ascii="Arial" w:hAnsi="Arial" w:hint="cs"/>
          <w:noProof w:val="0"/>
          <w:rtl/>
        </w:rPr>
        <w:t xml:space="preserve">לטענת המשיבה, טעותו של בא כוח המבקשת בהבנת המצב המשפטי אינה מהווה עילה להארכת המועד. </w:t>
      </w:r>
      <w:r w:rsidR="00E353F8">
        <w:rPr>
          <w:rFonts w:ascii="Arial" w:hAnsi="Arial" w:hint="cs"/>
          <w:noProof w:val="0"/>
          <w:rtl/>
        </w:rPr>
        <w:t xml:space="preserve">לדבריה, </w:t>
      </w:r>
      <w:r w:rsidR="007B7D74">
        <w:rPr>
          <w:rFonts w:ascii="Arial" w:hAnsi="Arial" w:hint="cs"/>
          <w:noProof w:val="0"/>
          <w:rtl/>
        </w:rPr>
        <w:t>למ</w:t>
      </w:r>
      <w:r w:rsidR="00E353F8">
        <w:rPr>
          <w:rFonts w:ascii="Arial" w:hAnsi="Arial" w:hint="cs"/>
          <w:noProof w:val="0"/>
          <w:rtl/>
        </w:rPr>
        <w:t xml:space="preserve">בקשת </w:t>
      </w:r>
      <w:r w:rsidR="007B7D74">
        <w:rPr>
          <w:rFonts w:ascii="Arial" w:hAnsi="Arial" w:hint="cs"/>
          <w:noProof w:val="0"/>
          <w:rtl/>
        </w:rPr>
        <w:t>היו 3 הזדמנויות שונות לבקש הארכת מועד והיא לא עשתה כן: האחת, עם הגשת הערעור בזכות. השנייה, לאחר שבית המשפט התריע בפניה על כך והשלישית, עם מתן פסק הדין בערכאת הערעור</w:t>
      </w:r>
      <w:r w:rsidR="002A2AF8">
        <w:rPr>
          <w:rFonts w:ascii="Arial" w:hAnsi="Arial" w:hint="cs"/>
          <w:noProof w:val="0"/>
          <w:rtl/>
        </w:rPr>
        <w:t xml:space="preserve"> ביום 15.6.23 שלאחריו התמהמהה </w:t>
      </w:r>
      <w:r w:rsidR="007B7D74">
        <w:rPr>
          <w:rFonts w:ascii="Arial" w:hAnsi="Arial" w:hint="cs"/>
          <w:noProof w:val="0"/>
          <w:rtl/>
        </w:rPr>
        <w:t>עוד 10 ימים עד להגשת ה</w:t>
      </w:r>
      <w:r w:rsidR="004D678E">
        <w:rPr>
          <w:rFonts w:ascii="Arial" w:hAnsi="Arial" w:hint="cs"/>
          <w:noProof w:val="0"/>
          <w:rtl/>
        </w:rPr>
        <w:t xml:space="preserve">ליך זה. </w:t>
      </w:r>
      <w:r w:rsidR="006E56D0">
        <w:rPr>
          <w:rFonts w:ascii="Arial" w:hAnsi="Arial" w:hint="cs"/>
          <w:noProof w:val="0"/>
          <w:rtl/>
        </w:rPr>
        <w:t>לטענתה,</w:t>
      </w:r>
      <w:r w:rsidR="004D678E">
        <w:rPr>
          <w:rFonts w:ascii="Arial" w:hAnsi="Arial" w:hint="cs"/>
          <w:noProof w:val="0"/>
          <w:rtl/>
        </w:rPr>
        <w:t xml:space="preserve"> טענות המבקשת ל</w:t>
      </w:r>
      <w:r w:rsidR="00E353F8">
        <w:rPr>
          <w:rFonts w:ascii="Arial" w:hAnsi="Arial" w:hint="cs"/>
          <w:noProof w:val="0"/>
          <w:rtl/>
        </w:rPr>
        <w:t>ג</w:t>
      </w:r>
      <w:r w:rsidR="004D678E">
        <w:rPr>
          <w:rFonts w:ascii="Arial" w:hAnsi="Arial" w:hint="cs"/>
          <w:noProof w:val="0"/>
          <w:rtl/>
        </w:rPr>
        <w:t xml:space="preserve">וף הערעור אינן מהוות טעם להארכת מועד ואין בבקשה </w:t>
      </w:r>
      <w:r w:rsidR="002A2AF8">
        <w:rPr>
          <w:rFonts w:ascii="Arial" w:hAnsi="Arial" w:hint="cs"/>
          <w:noProof w:val="0"/>
          <w:rtl/>
        </w:rPr>
        <w:t>אף טעם רגיל להארכת מועד.</w:t>
      </w:r>
      <w:r w:rsidR="004D678E">
        <w:rPr>
          <w:rFonts w:ascii="Arial" w:hAnsi="Arial" w:hint="cs"/>
          <w:noProof w:val="0"/>
          <w:rtl/>
        </w:rPr>
        <w:t xml:space="preserve"> גם היא</w:t>
      </w:r>
      <w:r w:rsidR="006E56D0">
        <w:rPr>
          <w:rFonts w:ascii="Arial" w:hAnsi="Arial" w:hint="cs"/>
          <w:noProof w:val="0"/>
          <w:rtl/>
        </w:rPr>
        <w:t xml:space="preserve"> טענה</w:t>
      </w:r>
      <w:r w:rsidR="004D678E">
        <w:rPr>
          <w:rFonts w:ascii="Arial" w:hAnsi="Arial" w:hint="cs"/>
          <w:noProof w:val="0"/>
          <w:rtl/>
        </w:rPr>
        <w:t xml:space="preserve"> לגופה </w:t>
      </w:r>
      <w:r w:rsidR="007B7D74">
        <w:rPr>
          <w:rFonts w:ascii="Arial" w:hAnsi="Arial" w:hint="cs"/>
          <w:noProof w:val="0"/>
          <w:rtl/>
        </w:rPr>
        <w:t>של</w:t>
      </w:r>
      <w:r w:rsidR="004D678E">
        <w:rPr>
          <w:rFonts w:ascii="Arial" w:hAnsi="Arial" w:hint="cs"/>
          <w:noProof w:val="0"/>
          <w:rtl/>
        </w:rPr>
        <w:t xml:space="preserve"> בקשת רשות</w:t>
      </w:r>
      <w:r w:rsidR="007B7D74">
        <w:rPr>
          <w:rFonts w:ascii="Arial" w:hAnsi="Arial" w:hint="cs"/>
          <w:noProof w:val="0"/>
          <w:rtl/>
        </w:rPr>
        <w:t xml:space="preserve"> הערעור </w:t>
      </w:r>
      <w:r w:rsidR="006E56D0">
        <w:rPr>
          <w:rFonts w:ascii="Arial" w:hAnsi="Arial" w:hint="cs"/>
          <w:noProof w:val="0"/>
          <w:rtl/>
        </w:rPr>
        <w:t xml:space="preserve">שלשיטתה יש </w:t>
      </w:r>
      <w:r w:rsidR="007B7D74">
        <w:rPr>
          <w:rFonts w:ascii="Arial" w:hAnsi="Arial" w:hint="cs"/>
          <w:noProof w:val="0"/>
          <w:rtl/>
        </w:rPr>
        <w:t xml:space="preserve"> לדחות</w:t>
      </w:r>
      <w:r w:rsidR="004D678E">
        <w:rPr>
          <w:rFonts w:ascii="Arial" w:hAnsi="Arial" w:hint="cs"/>
          <w:noProof w:val="0"/>
          <w:rtl/>
        </w:rPr>
        <w:t>ה.</w:t>
      </w:r>
    </w:p>
    <w:p w:rsidR="007B7D74" w:rsidRPr="007B7D74" w:rsidRDefault="007B7D74" w:rsidP="007B7D74">
      <w:pPr>
        <w:pStyle w:val="ad"/>
        <w:rPr>
          <w:rFonts w:ascii="Arial" w:hAnsi="Arial"/>
          <w:noProof w:val="0"/>
          <w:rtl/>
        </w:rPr>
      </w:pPr>
    </w:p>
    <w:p w:rsidR="00EB2873" w:rsidRDefault="00EB2873" w:rsidP="00AE2DA5">
      <w:pPr>
        <w:pStyle w:val="ad"/>
        <w:numPr>
          <w:ilvl w:val="0"/>
          <w:numId w:val="1"/>
        </w:numPr>
        <w:spacing w:line="360" w:lineRule="auto"/>
        <w:jc w:val="both"/>
        <w:rPr>
          <w:rFonts w:ascii="Arial" w:hAnsi="Arial"/>
          <w:noProof w:val="0"/>
        </w:rPr>
      </w:pPr>
      <w:r>
        <w:rPr>
          <w:rFonts w:ascii="Arial" w:hAnsi="Arial" w:hint="cs"/>
          <w:noProof w:val="0"/>
          <w:rtl/>
        </w:rPr>
        <w:t xml:space="preserve">בתשובתה, </w:t>
      </w:r>
      <w:r w:rsidR="00763961">
        <w:rPr>
          <w:rFonts w:ascii="Arial" w:hAnsi="Arial" w:hint="cs"/>
          <w:noProof w:val="0"/>
          <w:rtl/>
        </w:rPr>
        <w:t xml:space="preserve">טענה המבקשת </w:t>
      </w:r>
      <w:r>
        <w:rPr>
          <w:rFonts w:ascii="Arial" w:hAnsi="Arial" w:hint="cs"/>
          <w:noProof w:val="0"/>
          <w:rtl/>
        </w:rPr>
        <w:t xml:space="preserve">כי </w:t>
      </w:r>
      <w:r w:rsidR="00311FEA">
        <w:rPr>
          <w:rFonts w:ascii="Arial" w:hAnsi="Arial" w:hint="cs"/>
          <w:noProof w:val="0"/>
          <w:rtl/>
        </w:rPr>
        <w:t>יש לבחון בקשתה תוך התחשבות במכלול נסיבות המקרה ובכלל זה, משך האיחור, מהות הטעם שהוצג להגשת</w:t>
      </w:r>
      <w:r w:rsidR="00BA6696">
        <w:rPr>
          <w:rFonts w:ascii="Arial" w:hAnsi="Arial" w:hint="cs"/>
          <w:noProof w:val="0"/>
          <w:rtl/>
        </w:rPr>
        <w:t xml:space="preserve"> ההליך באיחור כמו גם מידת ההסתמכות של הצד שכנג</w:t>
      </w:r>
      <w:r w:rsidR="002A2AF8">
        <w:rPr>
          <w:rFonts w:ascii="Arial" w:hAnsi="Arial" w:hint="cs"/>
          <w:noProof w:val="0"/>
          <w:rtl/>
        </w:rPr>
        <w:t xml:space="preserve">ד וסיכוייו הלכאוריים של ההליך. </w:t>
      </w:r>
      <w:r w:rsidR="006C0A76">
        <w:rPr>
          <w:rFonts w:ascii="Arial" w:hAnsi="Arial" w:hint="cs"/>
          <w:noProof w:val="0"/>
          <w:rtl/>
        </w:rPr>
        <w:t xml:space="preserve">גם </w:t>
      </w:r>
      <w:r w:rsidR="00763961">
        <w:rPr>
          <w:rFonts w:ascii="Arial" w:hAnsi="Arial" w:hint="cs"/>
          <w:noProof w:val="0"/>
          <w:rtl/>
        </w:rPr>
        <w:t>היא התייחסה לעניין סאנשיין וטענה כי</w:t>
      </w:r>
      <w:r w:rsidR="006C0A76">
        <w:rPr>
          <w:rFonts w:ascii="Arial" w:hAnsi="Arial" w:hint="cs"/>
          <w:noProof w:val="0"/>
          <w:rtl/>
        </w:rPr>
        <w:t xml:space="preserve"> באותו </w:t>
      </w:r>
      <w:r w:rsidR="00AE2DA5">
        <w:rPr>
          <w:rFonts w:ascii="Arial" w:hAnsi="Arial" w:hint="cs"/>
          <w:noProof w:val="0"/>
          <w:rtl/>
        </w:rPr>
        <w:t>פסק דין</w:t>
      </w:r>
      <w:r w:rsidR="006C0A76">
        <w:rPr>
          <w:rFonts w:ascii="Arial" w:hAnsi="Arial" w:hint="cs"/>
          <w:noProof w:val="0"/>
          <w:rtl/>
        </w:rPr>
        <w:t xml:space="preserve"> נקבע כי היה חוסר בהירות באשר לאופן ההשגה על החלטה המורה על עיכוב הליכי בוררות </w:t>
      </w:r>
      <w:r w:rsidR="006E56D0">
        <w:rPr>
          <w:rFonts w:ascii="Arial" w:hAnsi="Arial" w:hint="cs"/>
          <w:noProof w:val="0"/>
          <w:rtl/>
        </w:rPr>
        <w:t xml:space="preserve">יחד עם </w:t>
      </w:r>
      <w:r w:rsidR="006C0A76">
        <w:rPr>
          <w:rFonts w:ascii="Arial" w:hAnsi="Arial" w:hint="cs"/>
          <w:noProof w:val="0"/>
          <w:rtl/>
        </w:rPr>
        <w:t xml:space="preserve"> ביטול היתר המצאה המקים "טעם מיוחד להארכת מועד</w:t>
      </w:r>
      <w:r w:rsidR="00E62DA0">
        <w:rPr>
          <w:rFonts w:ascii="Arial" w:hAnsi="Arial" w:hint="cs"/>
          <w:noProof w:val="0"/>
          <w:rtl/>
        </w:rPr>
        <w:t>. המבקשת הוסיפה</w:t>
      </w:r>
      <w:r w:rsidR="006E56D0">
        <w:rPr>
          <w:rFonts w:ascii="Arial" w:hAnsi="Arial" w:hint="cs"/>
          <w:noProof w:val="0"/>
          <w:rtl/>
        </w:rPr>
        <w:t xml:space="preserve"> וטענה</w:t>
      </w:r>
      <w:r w:rsidR="00E62DA0">
        <w:rPr>
          <w:rFonts w:ascii="Arial" w:hAnsi="Arial" w:hint="cs"/>
          <w:noProof w:val="0"/>
          <w:rtl/>
        </w:rPr>
        <w:t xml:space="preserve"> כי דחיית בקשתה תהווה פגיעה קשה ובלתי מידתית בזכות הגישה </w:t>
      </w:r>
      <w:r w:rsidR="00AE2DA5">
        <w:rPr>
          <w:rFonts w:ascii="Arial" w:hAnsi="Arial" w:hint="cs"/>
          <w:noProof w:val="0"/>
          <w:rtl/>
        </w:rPr>
        <w:t xml:space="preserve">שלה </w:t>
      </w:r>
      <w:r w:rsidR="00E62DA0">
        <w:rPr>
          <w:rFonts w:ascii="Arial" w:hAnsi="Arial" w:hint="cs"/>
          <w:noProof w:val="0"/>
          <w:rtl/>
        </w:rPr>
        <w:t xml:space="preserve">לערכאות. </w:t>
      </w:r>
    </w:p>
    <w:p w:rsidR="006C0A76" w:rsidRPr="006C0A76" w:rsidRDefault="006C0A76" w:rsidP="006C0A76">
      <w:pPr>
        <w:pStyle w:val="ad"/>
        <w:rPr>
          <w:rFonts w:ascii="Arial" w:hAnsi="Arial"/>
          <w:noProof w:val="0"/>
          <w:rtl/>
        </w:rPr>
      </w:pPr>
    </w:p>
    <w:p w:rsidR="006C0A76" w:rsidRPr="006C0A76" w:rsidRDefault="006C0A76" w:rsidP="006C0A76">
      <w:pPr>
        <w:spacing w:line="360" w:lineRule="auto"/>
        <w:ind w:firstLine="360"/>
        <w:jc w:val="both"/>
        <w:rPr>
          <w:rFonts w:ascii="Arial" w:hAnsi="Arial"/>
          <w:b/>
          <w:bCs/>
          <w:noProof w:val="0"/>
          <w:u w:val="single"/>
        </w:rPr>
      </w:pPr>
      <w:r w:rsidRPr="006C0A76">
        <w:rPr>
          <w:rFonts w:ascii="Arial" w:hAnsi="Arial" w:hint="cs"/>
          <w:b/>
          <w:bCs/>
          <w:noProof w:val="0"/>
          <w:u w:val="single"/>
          <w:rtl/>
        </w:rPr>
        <w:t>דיון והכרעה</w:t>
      </w:r>
    </w:p>
    <w:p w:rsidR="00EB2873" w:rsidRPr="00EB2873" w:rsidRDefault="00EB2873" w:rsidP="00EB2873">
      <w:pPr>
        <w:pStyle w:val="ad"/>
        <w:rPr>
          <w:rFonts w:ascii="Arial" w:hAnsi="Arial"/>
          <w:noProof w:val="0"/>
          <w:rtl/>
        </w:rPr>
      </w:pPr>
    </w:p>
    <w:p w:rsidR="00873140" w:rsidRDefault="007B7D74" w:rsidP="007B7D74">
      <w:pPr>
        <w:pStyle w:val="ad"/>
        <w:numPr>
          <w:ilvl w:val="0"/>
          <w:numId w:val="1"/>
        </w:numPr>
        <w:spacing w:line="360" w:lineRule="auto"/>
        <w:jc w:val="both"/>
        <w:rPr>
          <w:rFonts w:ascii="Arial" w:hAnsi="Arial"/>
          <w:noProof w:val="0"/>
        </w:rPr>
      </w:pPr>
      <w:r>
        <w:rPr>
          <w:rFonts w:ascii="Arial" w:hAnsi="Arial" w:hint="cs"/>
          <w:noProof w:val="0"/>
          <w:rtl/>
        </w:rPr>
        <w:t xml:space="preserve"> </w:t>
      </w:r>
      <w:r w:rsidR="00C219EF">
        <w:rPr>
          <w:rFonts w:ascii="Arial" w:hAnsi="Arial" w:hint="cs"/>
          <w:noProof w:val="0"/>
          <w:rtl/>
        </w:rPr>
        <w:t>לאחר שעיינתי בעמדות הצדדים, החלטתי לקבל את הבקשה להארכת מועד תוך חיוב המבקשת בהוצאות משפט.</w:t>
      </w:r>
    </w:p>
    <w:p w:rsidR="00C219EF" w:rsidRPr="00C219EF" w:rsidRDefault="00C219EF" w:rsidP="00C219EF">
      <w:pPr>
        <w:pStyle w:val="ad"/>
        <w:rPr>
          <w:rFonts w:ascii="Arial" w:hAnsi="Arial"/>
          <w:noProof w:val="0"/>
          <w:rtl/>
        </w:rPr>
      </w:pPr>
    </w:p>
    <w:p w:rsidR="00AF0F58" w:rsidRDefault="00AF0F58" w:rsidP="00FD6A83">
      <w:pPr>
        <w:pStyle w:val="ad"/>
        <w:numPr>
          <w:ilvl w:val="0"/>
          <w:numId w:val="1"/>
        </w:numPr>
        <w:spacing w:line="360" w:lineRule="auto"/>
        <w:jc w:val="both"/>
        <w:rPr>
          <w:rFonts w:ascii="Arial" w:hAnsi="Arial"/>
          <w:noProof w:val="0"/>
        </w:rPr>
      </w:pPr>
      <w:r>
        <w:rPr>
          <w:rFonts w:ascii="Arial" w:hAnsi="Arial" w:hint="cs"/>
          <w:noProof w:val="0"/>
          <w:rtl/>
        </w:rPr>
        <w:t>על אתר אומר</w:t>
      </w:r>
      <w:r w:rsidR="002A2AF8">
        <w:rPr>
          <w:rFonts w:ascii="Arial" w:hAnsi="Arial" w:hint="cs"/>
          <w:noProof w:val="0"/>
          <w:rtl/>
        </w:rPr>
        <w:t xml:space="preserve"> כי במקרה דנן לא היה הכרח בהגשת</w:t>
      </w:r>
      <w:r>
        <w:rPr>
          <w:rFonts w:ascii="Arial" w:hAnsi="Arial" w:hint="cs"/>
          <w:noProof w:val="0"/>
          <w:rtl/>
        </w:rPr>
        <w:t xml:space="preserve"> תצהיר</w:t>
      </w:r>
      <w:r w:rsidR="002A2AF8">
        <w:rPr>
          <w:rFonts w:ascii="Arial" w:hAnsi="Arial" w:hint="cs"/>
          <w:noProof w:val="0"/>
          <w:rtl/>
        </w:rPr>
        <w:t>,</w:t>
      </w:r>
      <w:r>
        <w:rPr>
          <w:rFonts w:ascii="Arial" w:hAnsi="Arial" w:hint="cs"/>
          <w:noProof w:val="0"/>
          <w:rtl/>
        </w:rPr>
        <w:t xml:space="preserve"> שכן אין מחלוקת בין הצדדים בדבר השתלשלות העניינים </w:t>
      </w:r>
      <w:r w:rsidR="00AE2DA5">
        <w:rPr>
          <w:rFonts w:ascii="Arial" w:hAnsi="Arial" w:hint="cs"/>
          <w:noProof w:val="0"/>
          <w:rtl/>
        </w:rPr>
        <w:t>שקדמה להגשתה</w:t>
      </w:r>
      <w:r w:rsidR="00FD6A83">
        <w:rPr>
          <w:rFonts w:ascii="Arial" w:hAnsi="Arial" w:hint="cs"/>
          <w:noProof w:val="0"/>
          <w:rtl/>
        </w:rPr>
        <w:t xml:space="preserve"> של הבקשה להארכת מועד </w:t>
      </w:r>
      <w:r>
        <w:rPr>
          <w:rFonts w:ascii="Arial" w:hAnsi="Arial" w:hint="cs"/>
          <w:noProof w:val="0"/>
          <w:rtl/>
        </w:rPr>
        <w:t>ו</w:t>
      </w:r>
      <w:r w:rsidR="00AE2DA5">
        <w:rPr>
          <w:rFonts w:ascii="Arial" w:hAnsi="Arial" w:hint="cs"/>
          <w:noProof w:val="0"/>
          <w:rtl/>
        </w:rPr>
        <w:t>כן ש</w:t>
      </w:r>
      <w:r w:rsidR="00FD6A83">
        <w:rPr>
          <w:rFonts w:ascii="Arial" w:hAnsi="Arial" w:hint="cs"/>
          <w:noProof w:val="0"/>
          <w:rtl/>
        </w:rPr>
        <w:t xml:space="preserve">זו </w:t>
      </w:r>
      <w:r w:rsidR="00AE2DA5">
        <w:rPr>
          <w:rFonts w:ascii="Arial" w:hAnsi="Arial" w:hint="cs"/>
          <w:noProof w:val="0"/>
          <w:rtl/>
        </w:rPr>
        <w:t>הוגשה</w:t>
      </w:r>
      <w:r>
        <w:rPr>
          <w:rFonts w:ascii="Arial" w:hAnsi="Arial" w:hint="cs"/>
          <w:noProof w:val="0"/>
          <w:rtl/>
        </w:rPr>
        <w:t xml:space="preserve"> בעקבות טעות </w:t>
      </w:r>
      <w:r w:rsidR="0077769E">
        <w:rPr>
          <w:rFonts w:ascii="Arial" w:hAnsi="Arial" w:hint="cs"/>
          <w:noProof w:val="0"/>
          <w:rtl/>
        </w:rPr>
        <w:t>בדין</w:t>
      </w:r>
      <w:r>
        <w:rPr>
          <w:rFonts w:ascii="Arial" w:hAnsi="Arial" w:hint="cs"/>
          <w:noProof w:val="0"/>
          <w:rtl/>
        </w:rPr>
        <w:t xml:space="preserve"> שנפלה אצל המבקשת.</w:t>
      </w:r>
    </w:p>
    <w:p w:rsidR="00AF0F58" w:rsidRPr="00AF0F58" w:rsidRDefault="00AF0F58" w:rsidP="00AF0F58">
      <w:pPr>
        <w:pStyle w:val="ad"/>
        <w:rPr>
          <w:rFonts w:ascii="Arial" w:hAnsi="Arial"/>
          <w:noProof w:val="0"/>
          <w:rtl/>
        </w:rPr>
      </w:pPr>
    </w:p>
    <w:p w:rsidR="006E56D0" w:rsidRDefault="00AE2DA5" w:rsidP="00AE2DA5">
      <w:pPr>
        <w:pStyle w:val="ad"/>
        <w:numPr>
          <w:ilvl w:val="0"/>
          <w:numId w:val="1"/>
        </w:numPr>
        <w:spacing w:line="360" w:lineRule="auto"/>
        <w:jc w:val="both"/>
        <w:rPr>
          <w:rFonts w:ascii="Arial" w:hAnsi="Arial"/>
          <w:noProof w:val="0"/>
        </w:rPr>
      </w:pPr>
      <w:r>
        <w:rPr>
          <w:rFonts w:ascii="Arial" w:hAnsi="Arial" w:hint="cs"/>
          <w:noProof w:val="0"/>
          <w:rtl/>
        </w:rPr>
        <w:t xml:space="preserve">כמפורט לעיל, </w:t>
      </w:r>
      <w:r w:rsidR="00C219EF">
        <w:rPr>
          <w:rFonts w:ascii="Arial" w:hAnsi="Arial" w:hint="cs"/>
          <w:noProof w:val="0"/>
          <w:rtl/>
        </w:rPr>
        <w:t xml:space="preserve">הערעור על פסק דינו של בית משפט השלום הוגש ביום 1.3.2023 טרם </w:t>
      </w:r>
      <w:r w:rsidR="006E56D0">
        <w:rPr>
          <w:rFonts w:ascii="Arial" w:hAnsi="Arial" w:hint="cs"/>
          <w:noProof w:val="0"/>
          <w:rtl/>
        </w:rPr>
        <w:t xml:space="preserve">שחלף </w:t>
      </w:r>
      <w:r>
        <w:rPr>
          <w:rFonts w:ascii="Arial" w:hAnsi="Arial" w:hint="cs"/>
          <w:noProof w:val="0"/>
          <w:rtl/>
        </w:rPr>
        <w:t xml:space="preserve">המועד האחרון להגשתו. </w:t>
      </w:r>
      <w:r w:rsidR="004B5183">
        <w:rPr>
          <w:rFonts w:ascii="Arial" w:hAnsi="Arial" w:hint="cs"/>
          <w:noProof w:val="0"/>
          <w:rtl/>
        </w:rPr>
        <w:t xml:space="preserve">למעשה, </w:t>
      </w:r>
      <w:r w:rsidR="00F01F97" w:rsidRPr="004B5183">
        <w:rPr>
          <w:rFonts w:ascii="Arial" w:hAnsi="Arial" w:hint="cs"/>
          <w:noProof w:val="0"/>
          <w:rtl/>
        </w:rPr>
        <w:t xml:space="preserve">הפעם הראשונה בה נודע למבקשת </w:t>
      </w:r>
      <w:r w:rsidR="004B5183">
        <w:rPr>
          <w:rFonts w:ascii="Arial" w:hAnsi="Arial" w:hint="cs"/>
          <w:noProof w:val="0"/>
          <w:rtl/>
        </w:rPr>
        <w:t>כי ייתכן ונקטה בהליך שגוי,</w:t>
      </w:r>
      <w:r w:rsidR="00F01F97" w:rsidRPr="004B5183">
        <w:rPr>
          <w:rFonts w:ascii="Arial" w:hAnsi="Arial" w:hint="cs"/>
          <w:noProof w:val="0"/>
          <w:rtl/>
        </w:rPr>
        <w:t xml:space="preserve"> הייתה </w:t>
      </w:r>
      <w:r w:rsidR="004B5183">
        <w:rPr>
          <w:rFonts w:ascii="Arial" w:hAnsi="Arial" w:hint="cs"/>
          <w:noProof w:val="0"/>
          <w:rtl/>
        </w:rPr>
        <w:t xml:space="preserve">עם קבלת החלטת </w:t>
      </w:r>
      <w:r w:rsidR="00F01F97" w:rsidRPr="004B5183">
        <w:rPr>
          <w:rFonts w:ascii="Arial" w:hAnsi="Arial" w:hint="cs"/>
          <w:noProof w:val="0"/>
          <w:rtl/>
        </w:rPr>
        <w:t xml:space="preserve">בית המשפט </w:t>
      </w:r>
      <w:r w:rsidR="004B5183">
        <w:rPr>
          <w:rFonts w:ascii="Arial" w:hAnsi="Arial" w:hint="cs"/>
          <w:noProof w:val="0"/>
          <w:rtl/>
        </w:rPr>
        <w:t xml:space="preserve">של ערעור מיום 22.5.2023 </w:t>
      </w:r>
      <w:r w:rsidR="00F01F97" w:rsidRPr="004B5183">
        <w:rPr>
          <w:rFonts w:ascii="Arial" w:hAnsi="Arial" w:hint="cs"/>
          <w:noProof w:val="0"/>
          <w:rtl/>
        </w:rPr>
        <w:t xml:space="preserve">שהורתה לה לנמק </w:t>
      </w:r>
      <w:r w:rsidR="004B5183">
        <w:rPr>
          <w:rFonts w:ascii="Arial" w:hAnsi="Arial" w:hint="cs"/>
          <w:noProof w:val="0"/>
          <w:rtl/>
        </w:rPr>
        <w:t>מדוע לא הוגשה בקשת רשות לערער</w:t>
      </w:r>
      <w:r w:rsidR="00F01F97" w:rsidRPr="004B5183">
        <w:rPr>
          <w:rFonts w:ascii="Arial" w:hAnsi="Arial" w:hint="cs"/>
          <w:noProof w:val="0"/>
          <w:rtl/>
        </w:rPr>
        <w:t>.</w:t>
      </w:r>
      <w:r w:rsidR="004B5183">
        <w:rPr>
          <w:rFonts w:ascii="Arial" w:hAnsi="Arial" w:hint="cs"/>
          <w:noProof w:val="0"/>
          <w:rtl/>
        </w:rPr>
        <w:t xml:space="preserve"> </w:t>
      </w:r>
    </w:p>
    <w:p w:rsidR="006E56D0" w:rsidRPr="006E56D0" w:rsidRDefault="006E56D0" w:rsidP="006E56D0">
      <w:pPr>
        <w:pStyle w:val="ad"/>
        <w:rPr>
          <w:rFonts w:ascii="Arial" w:hAnsi="Arial"/>
          <w:noProof w:val="0"/>
          <w:rtl/>
        </w:rPr>
      </w:pPr>
    </w:p>
    <w:p w:rsidR="00694DDC" w:rsidRDefault="00BA4F27" w:rsidP="00FD6A83">
      <w:pPr>
        <w:pStyle w:val="ad"/>
        <w:numPr>
          <w:ilvl w:val="0"/>
          <w:numId w:val="1"/>
        </w:numPr>
        <w:spacing w:line="360" w:lineRule="auto"/>
        <w:jc w:val="both"/>
        <w:rPr>
          <w:rFonts w:ascii="Arial" w:hAnsi="Arial"/>
          <w:noProof w:val="0"/>
        </w:rPr>
      </w:pPr>
      <w:r>
        <w:rPr>
          <w:rFonts w:ascii="Arial" w:hAnsi="Arial" w:hint="cs"/>
          <w:noProof w:val="0"/>
          <w:rtl/>
        </w:rPr>
        <w:t xml:space="preserve">המבקשת פעלה בהתאם להחלטת בית המשפט ופירטה את נימוקיה. אף שלא צוין במסגרת ההנמקה במפורש כי מתבקשת הארכת מועד להגשת בקשת רשות הערעור, לא ניתן להתעלם </w:t>
      </w:r>
      <w:r w:rsidR="00694DDC">
        <w:rPr>
          <w:rFonts w:ascii="Arial" w:hAnsi="Arial" w:hint="cs"/>
          <w:noProof w:val="0"/>
          <w:rtl/>
        </w:rPr>
        <w:t>מבקשתה החלופית כפי שהובאה בסעיף 13 לנימוקיה</w:t>
      </w:r>
      <w:r w:rsidR="00694DDC" w:rsidRPr="00694DDC">
        <w:rPr>
          <w:rFonts w:ascii="Arial" w:hAnsi="Arial" w:hint="cs"/>
          <w:noProof w:val="0"/>
          <w:rtl/>
        </w:rPr>
        <w:t xml:space="preserve">. במסגרת זו ביקשה כי </w:t>
      </w:r>
      <w:r w:rsidRPr="00694DDC">
        <w:rPr>
          <w:rFonts w:ascii="Arial" w:hAnsi="Arial" w:hint="cs"/>
          <w:noProof w:val="0"/>
          <w:rtl/>
        </w:rPr>
        <w:t xml:space="preserve"> </w:t>
      </w:r>
      <w:r w:rsidR="00694DDC" w:rsidRPr="00694DDC">
        <w:rPr>
          <w:rFonts w:ascii="Arial" w:hAnsi="Arial" w:hint="cs"/>
          <w:noProof w:val="0"/>
          <w:rtl/>
        </w:rPr>
        <w:t xml:space="preserve">ככל שיתברר כי בא כוחה פירש לא נכונה </w:t>
      </w:r>
      <w:r w:rsidR="000F02EA">
        <w:rPr>
          <w:rFonts w:ascii="Arial" w:hAnsi="Arial" w:hint="cs"/>
          <w:noProof w:val="0"/>
          <w:rtl/>
        </w:rPr>
        <w:t>את המצב המשפטי, ידון בית המשפט</w:t>
      </w:r>
      <w:r w:rsidR="00694DDC" w:rsidRPr="00694DDC">
        <w:rPr>
          <w:rFonts w:ascii="Arial" w:hAnsi="Arial" w:hint="cs"/>
          <w:noProof w:val="0"/>
          <w:rtl/>
        </w:rPr>
        <w:t xml:space="preserve"> בערעור כבקשת רשות ערעור. במיוחד הדברים</w:t>
      </w:r>
      <w:r w:rsidR="00CE5565">
        <w:rPr>
          <w:rFonts w:ascii="Arial" w:hAnsi="Arial" w:hint="cs"/>
          <w:noProof w:val="0"/>
          <w:rtl/>
        </w:rPr>
        <w:t xml:space="preserve"> אמורים</w:t>
      </w:r>
      <w:r w:rsidR="000F02EA">
        <w:rPr>
          <w:rFonts w:ascii="Arial" w:hAnsi="Arial" w:hint="cs"/>
          <w:noProof w:val="0"/>
          <w:rtl/>
        </w:rPr>
        <w:t>,</w:t>
      </w:r>
      <w:r w:rsidR="00CE5565">
        <w:rPr>
          <w:rFonts w:ascii="Arial" w:hAnsi="Arial" w:hint="cs"/>
          <w:noProof w:val="0"/>
          <w:rtl/>
        </w:rPr>
        <w:t xml:space="preserve"> </w:t>
      </w:r>
      <w:r w:rsidR="00694DDC" w:rsidRPr="00694DDC">
        <w:rPr>
          <w:rFonts w:ascii="Arial" w:hAnsi="Arial" w:hint="cs"/>
          <w:noProof w:val="0"/>
          <w:rtl/>
        </w:rPr>
        <w:t>עת ציינה כי כתב הערעור כולל את מלוא טענות</w:t>
      </w:r>
      <w:r w:rsidR="000F02EA">
        <w:rPr>
          <w:rFonts w:ascii="Arial" w:hAnsi="Arial" w:hint="cs"/>
          <w:noProof w:val="0"/>
          <w:rtl/>
        </w:rPr>
        <w:t>יה</w:t>
      </w:r>
      <w:r w:rsidR="00694DDC" w:rsidRPr="00694DDC">
        <w:rPr>
          <w:rFonts w:ascii="Arial" w:hAnsi="Arial" w:hint="cs"/>
          <w:noProof w:val="0"/>
          <w:rtl/>
        </w:rPr>
        <w:t xml:space="preserve"> ונימוקי ההתנגדות להחלטה וכן את המסמכים התומכים בהן, כך שבפועל כל החומר כבר </w:t>
      </w:r>
      <w:r w:rsidR="00811CED">
        <w:rPr>
          <w:rFonts w:ascii="Arial" w:hAnsi="Arial" w:hint="cs"/>
          <w:noProof w:val="0"/>
          <w:rtl/>
        </w:rPr>
        <w:t xml:space="preserve">היה </w:t>
      </w:r>
      <w:r w:rsidR="00694DDC" w:rsidRPr="00694DDC">
        <w:rPr>
          <w:rFonts w:ascii="Arial" w:hAnsi="Arial" w:hint="cs"/>
          <w:noProof w:val="0"/>
          <w:rtl/>
        </w:rPr>
        <w:t xml:space="preserve">בפני בית המשפט והטעות התייחסה רק לסיווג ההליך. </w:t>
      </w:r>
      <w:r w:rsidR="00694DDC">
        <w:rPr>
          <w:rFonts w:ascii="Arial" w:hAnsi="Arial" w:hint="cs"/>
          <w:noProof w:val="0"/>
          <w:rtl/>
        </w:rPr>
        <w:t>בנסיבות אלה</w:t>
      </w:r>
      <w:r w:rsidR="000F02EA">
        <w:rPr>
          <w:rFonts w:ascii="Arial" w:hAnsi="Arial" w:hint="cs"/>
          <w:noProof w:val="0"/>
          <w:rtl/>
        </w:rPr>
        <w:t>,</w:t>
      </w:r>
      <w:r w:rsidR="00694DDC">
        <w:rPr>
          <w:rFonts w:ascii="Arial" w:hAnsi="Arial" w:hint="cs"/>
          <w:noProof w:val="0"/>
          <w:rtl/>
        </w:rPr>
        <w:t xml:space="preserve"> אני סבור כי </w:t>
      </w:r>
      <w:r w:rsidR="00FD6A83">
        <w:rPr>
          <w:rFonts w:ascii="Arial" w:hAnsi="Arial" w:hint="cs"/>
          <w:noProof w:val="0"/>
          <w:rtl/>
        </w:rPr>
        <w:t xml:space="preserve">מבחינה מהותית </w:t>
      </w:r>
      <w:r w:rsidR="000F02EA">
        <w:rPr>
          <w:rFonts w:ascii="Arial" w:hAnsi="Arial" w:hint="cs"/>
          <w:noProof w:val="0"/>
          <w:rtl/>
        </w:rPr>
        <w:t xml:space="preserve">יש </w:t>
      </w:r>
      <w:r w:rsidR="00AE2DA5">
        <w:rPr>
          <w:rFonts w:ascii="Arial" w:hAnsi="Arial" w:hint="cs"/>
          <w:noProof w:val="0"/>
          <w:rtl/>
        </w:rPr>
        <w:t>לראות בקשתה זו כשקולה</w:t>
      </w:r>
      <w:r w:rsidR="00694DDC">
        <w:rPr>
          <w:rFonts w:ascii="Arial" w:hAnsi="Arial" w:hint="cs"/>
          <w:noProof w:val="0"/>
          <w:rtl/>
        </w:rPr>
        <w:t xml:space="preserve"> לבקשה להארכת מועד. </w:t>
      </w:r>
    </w:p>
    <w:p w:rsidR="000D394B" w:rsidRPr="000D394B" w:rsidRDefault="000D394B" w:rsidP="000D394B">
      <w:pPr>
        <w:pStyle w:val="ad"/>
        <w:rPr>
          <w:rFonts w:ascii="Arial" w:hAnsi="Arial"/>
          <w:noProof w:val="0"/>
          <w:rtl/>
        </w:rPr>
      </w:pPr>
    </w:p>
    <w:p w:rsidR="006A0E3C" w:rsidRDefault="00694DDC" w:rsidP="00FD6A83">
      <w:pPr>
        <w:pStyle w:val="ad"/>
        <w:numPr>
          <w:ilvl w:val="0"/>
          <w:numId w:val="1"/>
        </w:numPr>
        <w:spacing w:line="360" w:lineRule="auto"/>
        <w:jc w:val="both"/>
        <w:rPr>
          <w:rFonts w:ascii="Arial" w:hAnsi="Arial"/>
          <w:noProof w:val="0"/>
        </w:rPr>
      </w:pPr>
      <w:r>
        <w:rPr>
          <w:rFonts w:ascii="Arial" w:hAnsi="Arial" w:hint="cs"/>
          <w:noProof w:val="0"/>
          <w:rtl/>
        </w:rPr>
        <w:t>לאחר מחיקת</w:t>
      </w:r>
      <w:r w:rsidR="00684CCF">
        <w:rPr>
          <w:rFonts w:ascii="Arial" w:hAnsi="Arial" w:hint="cs"/>
          <w:noProof w:val="0"/>
          <w:rtl/>
        </w:rPr>
        <w:t xml:space="preserve"> הערעור, המבקשת לא השתהתה יתר על המידה וביום 25.6.2023 עתרה בבקשה זו להארכת מועד. בנסיבות אלה</w:t>
      </w:r>
      <w:r w:rsidR="000F02EA">
        <w:rPr>
          <w:rFonts w:ascii="Arial" w:hAnsi="Arial" w:hint="cs"/>
          <w:noProof w:val="0"/>
          <w:rtl/>
        </w:rPr>
        <w:t xml:space="preserve">, בהן הערעור הוגש </w:t>
      </w:r>
      <w:r w:rsidR="00684CCF">
        <w:rPr>
          <w:rFonts w:ascii="Arial" w:hAnsi="Arial" w:hint="cs"/>
          <w:noProof w:val="0"/>
          <w:rtl/>
        </w:rPr>
        <w:t>תוך פרק הזמן הקבוע בדין  ולאור בקשתה החלופית בסעיף 13,</w:t>
      </w:r>
      <w:r>
        <w:rPr>
          <w:rFonts w:ascii="Arial" w:hAnsi="Arial" w:hint="cs"/>
          <w:noProof w:val="0"/>
          <w:rtl/>
        </w:rPr>
        <w:t xml:space="preserve"> </w:t>
      </w:r>
      <w:r w:rsidR="00AE2DA5">
        <w:rPr>
          <w:rFonts w:ascii="Arial" w:hAnsi="Arial" w:hint="cs"/>
          <w:noProof w:val="0"/>
          <w:rtl/>
        </w:rPr>
        <w:t xml:space="preserve">אזי </w:t>
      </w:r>
      <w:r w:rsidR="000F02EA">
        <w:rPr>
          <w:rFonts w:ascii="Arial" w:hAnsi="Arial" w:hint="cs"/>
          <w:noProof w:val="0"/>
          <w:rtl/>
        </w:rPr>
        <w:t xml:space="preserve">המשקל שיש לתת </w:t>
      </w:r>
      <w:r w:rsidR="006A0E3C">
        <w:rPr>
          <w:rFonts w:ascii="Arial" w:hAnsi="Arial" w:hint="cs"/>
          <w:noProof w:val="0"/>
          <w:rtl/>
        </w:rPr>
        <w:t>להסתמכות המשיבה על פסק הדין שהורה על מחיקת הערעור</w:t>
      </w:r>
      <w:r w:rsidR="00811CED">
        <w:rPr>
          <w:rFonts w:ascii="Arial" w:hAnsi="Arial" w:hint="cs"/>
          <w:noProof w:val="0"/>
          <w:rtl/>
        </w:rPr>
        <w:t xml:space="preserve"> כסיום ההליכים בין הצדדים</w:t>
      </w:r>
      <w:r w:rsidR="000F02EA">
        <w:rPr>
          <w:rFonts w:ascii="Arial" w:hAnsi="Arial" w:hint="cs"/>
          <w:noProof w:val="0"/>
          <w:rtl/>
        </w:rPr>
        <w:t xml:space="preserve"> ה</w:t>
      </w:r>
      <w:r w:rsidR="006A0E3C">
        <w:rPr>
          <w:rFonts w:ascii="Arial" w:hAnsi="Arial" w:hint="cs"/>
          <w:noProof w:val="0"/>
          <w:rtl/>
        </w:rPr>
        <w:t>נו</w:t>
      </w:r>
      <w:r w:rsidR="00934564">
        <w:rPr>
          <w:rFonts w:ascii="Arial" w:hAnsi="Arial" w:hint="cs"/>
          <w:noProof w:val="0"/>
          <w:rtl/>
        </w:rPr>
        <w:t xml:space="preserve"> נמוך</w:t>
      </w:r>
      <w:r w:rsidR="006A0E3C">
        <w:rPr>
          <w:rFonts w:ascii="Arial" w:hAnsi="Arial" w:hint="cs"/>
          <w:noProof w:val="0"/>
          <w:rtl/>
        </w:rPr>
        <w:t xml:space="preserve"> ביותר</w:t>
      </w:r>
      <w:r w:rsidR="00AE2DA5">
        <w:rPr>
          <w:rFonts w:ascii="Arial" w:hAnsi="Arial" w:hint="cs"/>
          <w:noProof w:val="0"/>
          <w:rtl/>
        </w:rPr>
        <w:t>.</w:t>
      </w:r>
      <w:r w:rsidR="006A0E3C">
        <w:rPr>
          <w:rFonts w:ascii="Arial" w:hAnsi="Arial" w:hint="cs"/>
          <w:noProof w:val="0"/>
          <w:rtl/>
        </w:rPr>
        <w:t xml:space="preserve"> </w:t>
      </w:r>
      <w:r w:rsidR="00811CED">
        <w:rPr>
          <w:rFonts w:ascii="Arial" w:hAnsi="Arial" w:hint="cs"/>
          <w:noProof w:val="0"/>
          <w:rtl/>
        </w:rPr>
        <w:t>לאור השתלשלות העניינים</w:t>
      </w:r>
      <w:r w:rsidR="000F02EA">
        <w:rPr>
          <w:rFonts w:ascii="Arial" w:hAnsi="Arial" w:hint="cs"/>
          <w:noProof w:val="0"/>
          <w:rtl/>
        </w:rPr>
        <w:t xml:space="preserve">, </w:t>
      </w:r>
      <w:r w:rsidR="00AE2DA5">
        <w:rPr>
          <w:rFonts w:ascii="Arial" w:hAnsi="Arial" w:hint="cs"/>
          <w:noProof w:val="0"/>
          <w:rtl/>
        </w:rPr>
        <w:t xml:space="preserve">היה צפוי </w:t>
      </w:r>
      <w:r w:rsidR="00811CED">
        <w:rPr>
          <w:rFonts w:ascii="Arial" w:hAnsi="Arial" w:hint="cs"/>
          <w:noProof w:val="0"/>
          <w:rtl/>
        </w:rPr>
        <w:t>כי המבקשת תעמו</w:t>
      </w:r>
      <w:r w:rsidR="000F02EA">
        <w:rPr>
          <w:rFonts w:ascii="Arial" w:hAnsi="Arial" w:hint="cs"/>
          <w:noProof w:val="0"/>
          <w:rtl/>
        </w:rPr>
        <w:t xml:space="preserve">ד על טענותיה </w:t>
      </w:r>
      <w:r w:rsidR="00AE2DA5">
        <w:rPr>
          <w:rFonts w:ascii="Arial" w:hAnsi="Arial" w:hint="cs"/>
          <w:noProof w:val="0"/>
          <w:rtl/>
        </w:rPr>
        <w:t>ותפעל ל</w:t>
      </w:r>
      <w:r w:rsidR="000F02EA">
        <w:rPr>
          <w:rFonts w:ascii="Arial" w:hAnsi="Arial" w:hint="cs"/>
          <w:noProof w:val="0"/>
          <w:rtl/>
        </w:rPr>
        <w:t>הגשת בקשת ר</w:t>
      </w:r>
      <w:r w:rsidR="00811CED">
        <w:rPr>
          <w:rFonts w:ascii="Arial" w:hAnsi="Arial" w:hint="cs"/>
          <w:noProof w:val="0"/>
          <w:rtl/>
        </w:rPr>
        <w:t>ש</w:t>
      </w:r>
      <w:r w:rsidR="000F02EA">
        <w:rPr>
          <w:rFonts w:ascii="Arial" w:hAnsi="Arial" w:hint="cs"/>
          <w:noProof w:val="0"/>
          <w:rtl/>
        </w:rPr>
        <w:t>ו</w:t>
      </w:r>
      <w:r w:rsidR="00811CED">
        <w:rPr>
          <w:rFonts w:ascii="Arial" w:hAnsi="Arial" w:hint="cs"/>
          <w:noProof w:val="0"/>
          <w:rtl/>
        </w:rPr>
        <w:t>ת ערעור</w:t>
      </w:r>
      <w:r w:rsidR="00AE2DA5">
        <w:rPr>
          <w:rFonts w:ascii="Arial" w:hAnsi="Arial" w:hint="cs"/>
          <w:noProof w:val="0"/>
          <w:rtl/>
        </w:rPr>
        <w:t>, כפי שאכן עשתה</w:t>
      </w:r>
      <w:r w:rsidR="00811CED">
        <w:rPr>
          <w:rFonts w:ascii="Arial" w:hAnsi="Arial" w:hint="cs"/>
          <w:noProof w:val="0"/>
          <w:rtl/>
        </w:rPr>
        <w:t>.</w:t>
      </w:r>
    </w:p>
    <w:p w:rsidR="006A0E3C" w:rsidRDefault="006A0E3C" w:rsidP="006A0E3C">
      <w:pPr>
        <w:pStyle w:val="ad"/>
        <w:spacing w:line="360" w:lineRule="auto"/>
        <w:jc w:val="both"/>
        <w:rPr>
          <w:rFonts w:ascii="Arial" w:hAnsi="Arial"/>
          <w:noProof w:val="0"/>
        </w:rPr>
      </w:pPr>
    </w:p>
    <w:p w:rsidR="00443764" w:rsidRDefault="006A0E3C" w:rsidP="00FD6A83">
      <w:pPr>
        <w:pStyle w:val="ad"/>
        <w:numPr>
          <w:ilvl w:val="0"/>
          <w:numId w:val="1"/>
        </w:numPr>
        <w:spacing w:line="360" w:lineRule="auto"/>
        <w:jc w:val="both"/>
        <w:rPr>
          <w:rFonts w:ascii="Arial" w:hAnsi="Arial"/>
          <w:noProof w:val="0"/>
        </w:rPr>
      </w:pPr>
      <w:r>
        <w:rPr>
          <w:rFonts w:ascii="Arial" w:hAnsi="Arial" w:hint="cs"/>
          <w:noProof w:val="0"/>
          <w:rtl/>
        </w:rPr>
        <w:t xml:space="preserve">יש לציין כי </w:t>
      </w:r>
      <w:r w:rsidR="000D394B">
        <w:rPr>
          <w:rFonts w:ascii="Arial" w:hAnsi="Arial" w:hint="cs"/>
          <w:noProof w:val="0"/>
          <w:rtl/>
        </w:rPr>
        <w:t>החלטת בית משפט קמא הוכתרה כפסק דין</w:t>
      </w:r>
      <w:r w:rsidR="00FD6A83">
        <w:rPr>
          <w:rFonts w:ascii="Arial" w:hAnsi="Arial" w:hint="cs"/>
          <w:noProof w:val="0"/>
          <w:rtl/>
        </w:rPr>
        <w:t>,</w:t>
      </w:r>
      <w:r w:rsidR="000D394B">
        <w:rPr>
          <w:rFonts w:ascii="Arial" w:hAnsi="Arial" w:hint="cs"/>
          <w:noProof w:val="0"/>
          <w:rtl/>
        </w:rPr>
        <w:t xml:space="preserve"> כאשר בסיפא של החלטתו הורה על סגירת התיק</w:t>
      </w:r>
      <w:r w:rsidR="00FD6A83">
        <w:rPr>
          <w:rFonts w:ascii="Arial" w:hAnsi="Arial" w:hint="cs"/>
          <w:noProof w:val="0"/>
          <w:rtl/>
        </w:rPr>
        <w:t xml:space="preserve">, מה שהוביל </w:t>
      </w:r>
      <w:r w:rsidR="00AE2DA5">
        <w:rPr>
          <w:rFonts w:ascii="Arial" w:hAnsi="Arial" w:hint="cs"/>
          <w:noProof w:val="0"/>
          <w:rtl/>
        </w:rPr>
        <w:t>לטעות</w:t>
      </w:r>
      <w:r w:rsidR="00FD6A83">
        <w:rPr>
          <w:rFonts w:ascii="Arial" w:hAnsi="Arial" w:hint="cs"/>
          <w:noProof w:val="0"/>
          <w:rtl/>
        </w:rPr>
        <w:t>ה של המבקשת</w:t>
      </w:r>
      <w:r w:rsidR="000D394B">
        <w:rPr>
          <w:rFonts w:ascii="Arial" w:hAnsi="Arial" w:hint="cs"/>
          <w:noProof w:val="0"/>
          <w:rtl/>
        </w:rPr>
        <w:t xml:space="preserve">. </w:t>
      </w:r>
      <w:r w:rsidR="00AE2DA5">
        <w:rPr>
          <w:rFonts w:ascii="Arial" w:hAnsi="Arial" w:hint="cs"/>
          <w:noProof w:val="0"/>
          <w:rtl/>
        </w:rPr>
        <w:t xml:space="preserve">בנסיבות אלה ניתן </w:t>
      </w:r>
      <w:r w:rsidR="00FD6A83">
        <w:rPr>
          <w:rFonts w:ascii="Arial" w:hAnsi="Arial" w:hint="cs"/>
          <w:noProof w:val="0"/>
          <w:rtl/>
        </w:rPr>
        <w:t xml:space="preserve">גם </w:t>
      </w:r>
      <w:r w:rsidR="00AE2DA5">
        <w:rPr>
          <w:rFonts w:ascii="Arial" w:hAnsi="Arial" w:hint="cs"/>
          <w:noProof w:val="0"/>
          <w:rtl/>
        </w:rPr>
        <w:t>להבין מדוע בהחלטה מיום</w:t>
      </w:r>
      <w:r w:rsidR="00FD6A83">
        <w:rPr>
          <w:rFonts w:ascii="Arial" w:hAnsi="Arial" w:hint="cs"/>
          <w:noProof w:val="0"/>
          <w:rtl/>
        </w:rPr>
        <w:t xml:space="preserve"> </w:t>
      </w:r>
      <w:r w:rsidR="00AE2DA5">
        <w:rPr>
          <w:rFonts w:ascii="Arial" w:hAnsi="Arial" w:hint="cs"/>
          <w:noProof w:val="0"/>
          <w:rtl/>
        </w:rPr>
        <w:t xml:space="preserve">21.5.2023 מצא בית המשפט לקבוע כי הערעור מצריך תשובה. </w:t>
      </w:r>
      <w:r w:rsidR="000F02EA">
        <w:rPr>
          <w:rFonts w:ascii="Arial" w:hAnsi="Arial" w:hint="cs"/>
          <w:noProof w:val="0"/>
          <w:rtl/>
        </w:rPr>
        <w:t>רק</w:t>
      </w:r>
      <w:r w:rsidR="000D394B">
        <w:rPr>
          <w:rFonts w:ascii="Arial" w:hAnsi="Arial" w:hint="cs"/>
          <w:noProof w:val="0"/>
          <w:rtl/>
        </w:rPr>
        <w:t xml:space="preserve"> לאחר </w:t>
      </w:r>
      <w:r w:rsidR="00FD6A83">
        <w:rPr>
          <w:rFonts w:ascii="Arial" w:hAnsi="Arial" w:hint="cs"/>
          <w:noProof w:val="0"/>
          <w:rtl/>
        </w:rPr>
        <w:lastRenderedPageBreak/>
        <w:t xml:space="preserve">עיון חוזר </w:t>
      </w:r>
      <w:r w:rsidR="000D394B">
        <w:rPr>
          <w:rFonts w:ascii="Arial" w:hAnsi="Arial" w:hint="cs"/>
          <w:noProof w:val="0"/>
          <w:rtl/>
        </w:rPr>
        <w:t xml:space="preserve">מצא לנכון </w:t>
      </w:r>
      <w:r w:rsidR="00443764">
        <w:rPr>
          <w:rFonts w:ascii="Arial" w:hAnsi="Arial" w:hint="cs"/>
          <w:noProof w:val="0"/>
          <w:rtl/>
        </w:rPr>
        <w:t xml:space="preserve">בהחלטתו מיום 22.5.2023 </w:t>
      </w:r>
      <w:r w:rsidR="000D394B">
        <w:rPr>
          <w:rFonts w:ascii="Arial" w:hAnsi="Arial" w:hint="cs"/>
          <w:noProof w:val="0"/>
          <w:rtl/>
        </w:rPr>
        <w:t xml:space="preserve">לעכב את </w:t>
      </w:r>
      <w:r w:rsidR="00AE2DA5">
        <w:rPr>
          <w:rFonts w:ascii="Arial" w:hAnsi="Arial" w:hint="cs"/>
          <w:noProof w:val="0"/>
          <w:rtl/>
        </w:rPr>
        <w:t>ביצועה</w:t>
      </w:r>
      <w:r w:rsidR="000F02EA">
        <w:rPr>
          <w:rFonts w:ascii="Arial" w:hAnsi="Arial" w:hint="cs"/>
          <w:noProof w:val="0"/>
          <w:rtl/>
        </w:rPr>
        <w:t xml:space="preserve"> </w:t>
      </w:r>
      <w:r w:rsidR="00AE2DA5">
        <w:rPr>
          <w:rFonts w:ascii="Arial" w:hAnsi="Arial" w:hint="cs"/>
          <w:noProof w:val="0"/>
          <w:rtl/>
        </w:rPr>
        <w:t>ולהורות למבקשת</w:t>
      </w:r>
      <w:r w:rsidR="000F02EA">
        <w:rPr>
          <w:rFonts w:ascii="Arial" w:hAnsi="Arial" w:hint="cs"/>
          <w:noProof w:val="0"/>
          <w:rtl/>
        </w:rPr>
        <w:t xml:space="preserve"> ל</w:t>
      </w:r>
      <w:r w:rsidR="000D394B">
        <w:rPr>
          <w:rFonts w:ascii="Arial" w:hAnsi="Arial" w:hint="cs"/>
          <w:noProof w:val="0"/>
          <w:rtl/>
        </w:rPr>
        <w:t>נמק מדוע פעלה בדרך זו.</w:t>
      </w:r>
    </w:p>
    <w:p w:rsidR="00443764" w:rsidRPr="00443764" w:rsidRDefault="00443764" w:rsidP="00443764">
      <w:pPr>
        <w:pStyle w:val="ad"/>
        <w:rPr>
          <w:rFonts w:ascii="Arial" w:hAnsi="Arial"/>
          <w:noProof w:val="0"/>
          <w:rtl/>
        </w:rPr>
      </w:pPr>
    </w:p>
    <w:p w:rsidR="00443764" w:rsidRDefault="00443764" w:rsidP="00FD6A83">
      <w:pPr>
        <w:pStyle w:val="ad"/>
        <w:numPr>
          <w:ilvl w:val="0"/>
          <w:numId w:val="1"/>
        </w:numPr>
        <w:spacing w:line="360" w:lineRule="auto"/>
        <w:jc w:val="both"/>
        <w:rPr>
          <w:rFonts w:ascii="Arial" w:hAnsi="Arial"/>
          <w:noProof w:val="0"/>
        </w:rPr>
      </w:pPr>
      <w:r>
        <w:rPr>
          <w:rFonts w:ascii="Arial" w:hAnsi="Arial" w:hint="cs"/>
          <w:noProof w:val="0"/>
          <w:rtl/>
        </w:rPr>
        <w:t xml:space="preserve">נסיבות המקרה דנן דומות לפסק הדין בעניין </w:t>
      </w:r>
      <w:r w:rsidR="000F02EA">
        <w:rPr>
          <w:rFonts w:ascii="Arial" w:hAnsi="Arial" w:hint="cs"/>
          <w:noProof w:val="0"/>
          <w:rtl/>
        </w:rPr>
        <w:t>סאנשיין</w:t>
      </w:r>
      <w:r>
        <w:rPr>
          <w:rFonts w:ascii="Arial" w:hAnsi="Arial" w:hint="cs"/>
          <w:noProof w:val="0"/>
          <w:rtl/>
        </w:rPr>
        <w:t xml:space="preserve"> אליו הפנו הצדדים. גם שם מצאה לנכון כב' </w:t>
      </w:r>
      <w:r w:rsidR="00FD6A83">
        <w:rPr>
          <w:rFonts w:ascii="Arial" w:hAnsi="Arial" w:hint="cs"/>
          <w:noProof w:val="0"/>
          <w:rtl/>
        </w:rPr>
        <w:t>הרשמת</w:t>
      </w:r>
      <w:r>
        <w:rPr>
          <w:rFonts w:ascii="Arial" w:hAnsi="Arial" w:hint="cs"/>
          <w:noProof w:val="0"/>
          <w:rtl/>
        </w:rPr>
        <w:t xml:space="preserve"> עבדיאן להורות על מחיקת הערעור</w:t>
      </w:r>
      <w:r w:rsidR="000F02EA">
        <w:rPr>
          <w:rFonts w:ascii="Arial" w:hAnsi="Arial" w:hint="cs"/>
          <w:noProof w:val="0"/>
          <w:rtl/>
        </w:rPr>
        <w:t>,</w:t>
      </w:r>
      <w:r>
        <w:rPr>
          <w:rFonts w:ascii="Arial" w:hAnsi="Arial" w:hint="cs"/>
          <w:noProof w:val="0"/>
          <w:rtl/>
        </w:rPr>
        <w:t xml:space="preserve"> אך ליתן הארכת מועד להגשתו. להלן הדברים </w:t>
      </w:r>
      <w:r w:rsidR="00663992">
        <w:rPr>
          <w:rFonts w:ascii="Arial" w:hAnsi="Arial" w:hint="cs"/>
          <w:noProof w:val="0"/>
          <w:rtl/>
        </w:rPr>
        <w:t>:</w:t>
      </w:r>
    </w:p>
    <w:p w:rsidR="00B7085D" w:rsidRPr="00B7085D" w:rsidRDefault="00B7085D" w:rsidP="00B7085D">
      <w:pPr>
        <w:pStyle w:val="ad"/>
        <w:rPr>
          <w:rFonts w:ascii="Arial" w:hAnsi="Arial"/>
          <w:noProof w:val="0"/>
          <w:rtl/>
        </w:rPr>
      </w:pPr>
    </w:p>
    <w:p w:rsidR="00B7085D" w:rsidRPr="00B7085D" w:rsidRDefault="00B7085D" w:rsidP="00B7085D">
      <w:pPr>
        <w:pStyle w:val="Ruller40"/>
        <w:ind w:left="720"/>
        <w:rPr>
          <w:rFonts w:ascii="David" w:hAnsi="David" w:cs="David"/>
          <w:b/>
          <w:bCs/>
          <w:sz w:val="24"/>
          <w:szCs w:val="24"/>
        </w:rPr>
      </w:pPr>
      <w:r w:rsidRPr="00B7085D">
        <w:rPr>
          <w:rFonts w:ascii="Century" w:hAnsi="Century"/>
          <w:b/>
          <w:bCs/>
          <w:sz w:val="24"/>
          <w:szCs w:val="24"/>
          <w:rtl/>
        </w:rPr>
        <w:tab/>
      </w:r>
      <w:r w:rsidRPr="00B7085D">
        <w:rPr>
          <w:rFonts w:ascii="Century" w:hAnsi="Century" w:hint="cs"/>
          <w:b/>
          <w:bCs/>
          <w:sz w:val="24"/>
          <w:szCs w:val="24"/>
          <w:rtl/>
        </w:rPr>
        <w:t>"</w:t>
      </w:r>
      <w:r w:rsidRPr="00B7085D">
        <w:rPr>
          <w:rFonts w:ascii="David" w:hAnsi="David" w:cs="David"/>
          <w:b/>
          <w:bCs/>
          <w:sz w:val="24"/>
          <w:szCs w:val="24"/>
          <w:rtl/>
        </w:rPr>
        <w:t xml:space="preserve">מסקנתי היא, אם כן, כי פסק הדין טעון רשות ערעור נוכח הוראות </w:t>
      </w:r>
      <w:hyperlink r:id="rId10" w:history="1">
        <w:r w:rsidRPr="00AE2DA5">
          <w:rPr>
            <w:rStyle w:val="Hyperlink"/>
            <w:rFonts w:ascii="David" w:hAnsi="David" w:cs="David"/>
            <w:b/>
            <w:bCs/>
            <w:color w:val="auto"/>
            <w:sz w:val="24"/>
            <w:szCs w:val="24"/>
            <w:u w:val="none"/>
            <w:rtl/>
          </w:rPr>
          <w:t>סעיף 38</w:t>
        </w:r>
      </w:hyperlink>
      <w:r w:rsidRPr="00AE2DA5">
        <w:rPr>
          <w:rFonts w:ascii="David" w:hAnsi="David" w:cs="David"/>
          <w:b/>
          <w:bCs/>
          <w:sz w:val="24"/>
          <w:szCs w:val="24"/>
          <w:rtl/>
        </w:rPr>
        <w:t xml:space="preserve"> ל</w:t>
      </w:r>
      <w:hyperlink r:id="rId11" w:history="1">
        <w:r w:rsidRPr="00AE2DA5">
          <w:rPr>
            <w:rStyle w:val="Hyperlink"/>
            <w:rFonts w:ascii="David" w:hAnsi="David" w:cs="David"/>
            <w:b/>
            <w:bCs/>
            <w:color w:val="auto"/>
            <w:sz w:val="24"/>
            <w:szCs w:val="24"/>
            <w:u w:val="none"/>
            <w:rtl/>
          </w:rPr>
          <w:t>חוק הבוררות</w:t>
        </w:r>
      </w:hyperlink>
      <w:r w:rsidRPr="00AE2DA5">
        <w:rPr>
          <w:rFonts w:ascii="David" w:hAnsi="David" w:cs="David"/>
          <w:b/>
          <w:bCs/>
          <w:sz w:val="24"/>
          <w:szCs w:val="24"/>
          <w:rtl/>
        </w:rPr>
        <w:t>. משלא התבקשה – וממילא לא ניתנה – רשות ערעור על פסק</w:t>
      </w:r>
      <w:r w:rsidRPr="00B7085D">
        <w:rPr>
          <w:rFonts w:ascii="David" w:hAnsi="David" w:cs="David"/>
          <w:b/>
          <w:bCs/>
          <w:sz w:val="24"/>
          <w:szCs w:val="24"/>
          <w:rtl/>
        </w:rPr>
        <w:t xml:space="preserve"> הדין, דינו של הערעור שבכותרת להימחק על הסף</w:t>
      </w:r>
      <w:r w:rsidRPr="00B7085D">
        <w:rPr>
          <w:rFonts w:ascii="David" w:hAnsi="David" w:cs="David"/>
          <w:b/>
          <w:bCs/>
          <w:sz w:val="24"/>
          <w:szCs w:val="24"/>
        </w:rPr>
        <w:t>.</w:t>
      </w:r>
      <w:r w:rsidRPr="00B7085D">
        <w:rPr>
          <w:rFonts w:ascii="David" w:hAnsi="David" w:cs="David"/>
          <w:b/>
          <w:bCs/>
          <w:sz w:val="24"/>
          <w:szCs w:val="24"/>
          <w:rtl/>
        </w:rPr>
        <w:t xml:space="preserve"> כעת, עליי להידרש לבקשת המערערת להארכת המועד להגשת בקשת רשות ערעור על פסק הדין.  </w:t>
      </w:r>
    </w:p>
    <w:p w:rsidR="00B7085D" w:rsidRPr="00B7085D" w:rsidRDefault="00B7085D" w:rsidP="00B7085D">
      <w:pPr>
        <w:pStyle w:val="Ruller40"/>
        <w:rPr>
          <w:rFonts w:ascii="David" w:hAnsi="David" w:cs="David"/>
          <w:b/>
          <w:bCs/>
          <w:sz w:val="24"/>
          <w:szCs w:val="24"/>
          <w:rtl/>
        </w:rPr>
      </w:pPr>
    </w:p>
    <w:p w:rsidR="00663992" w:rsidRDefault="00B7085D" w:rsidP="00663992">
      <w:pPr>
        <w:pStyle w:val="ad"/>
        <w:spacing w:line="360" w:lineRule="auto"/>
        <w:jc w:val="both"/>
        <w:rPr>
          <w:rFonts w:ascii="David" w:hAnsi="David"/>
          <w:b/>
          <w:bCs/>
          <w:rtl/>
        </w:rPr>
      </w:pPr>
      <w:r w:rsidRPr="00B7085D">
        <w:rPr>
          <w:rFonts w:ascii="David" w:hAnsi="David"/>
          <w:b/>
          <w:bCs/>
          <w:rtl/>
        </w:rPr>
        <w:t xml:space="preserve">אני סבורה כי בענייננו, חוסר הבהירות באשר לשאלת אופן ההשגה על החלטה המורה הן על עיכוב הליכי בוררות והן על ביטול היתר המצאה, כפי שהיא באה לידי ביטוי בעניין ווטאירפול (וראו גם את קביעותיו של כבוד השופט נ' הנדל בעניין ערעור ווטאירפול), מקימה "טעם מיוחד" להארכת המועד להגשת בקשת רשות ערעור על פסק הדין (השוו: </w:t>
      </w:r>
      <w:hyperlink r:id="rId12" w:history="1">
        <w:r w:rsidRPr="00B7085D">
          <w:rPr>
            <w:rStyle w:val="Hyperlink"/>
            <w:rFonts w:ascii="David" w:hAnsi="David"/>
            <w:b/>
            <w:bCs/>
            <w:color w:val="auto"/>
            <w:rtl/>
          </w:rPr>
          <w:t>בש"א 8517/15</w:t>
        </w:r>
      </w:hyperlink>
      <w:r w:rsidRPr="00B7085D">
        <w:rPr>
          <w:rFonts w:ascii="David" w:hAnsi="David"/>
          <w:b/>
          <w:bCs/>
          <w:rtl/>
        </w:rPr>
        <w:t xml:space="preserve"> נוימן נ' כפר אז"ר, מושב עובדים להתיישבות שיתופית חקלאית בע"מ, [פורסם בנבו] פיסקה 3 (29.5.2016))</w:t>
      </w:r>
      <w:r w:rsidR="00E971B7">
        <w:rPr>
          <w:rFonts w:ascii="David" w:hAnsi="David" w:hint="cs"/>
          <w:b/>
          <w:bCs/>
          <w:rtl/>
        </w:rPr>
        <w:t>"</w:t>
      </w:r>
      <w:r w:rsidRPr="00B7085D">
        <w:rPr>
          <w:rFonts w:ascii="David" w:hAnsi="David"/>
          <w:b/>
          <w:bCs/>
          <w:rtl/>
        </w:rPr>
        <w:t>.</w:t>
      </w:r>
    </w:p>
    <w:p w:rsidR="0077769E" w:rsidRDefault="0077769E" w:rsidP="00663992">
      <w:pPr>
        <w:spacing w:line="360" w:lineRule="auto"/>
        <w:jc w:val="both"/>
        <w:rPr>
          <w:rFonts w:ascii="David" w:hAnsi="David"/>
          <w:b/>
          <w:bCs/>
          <w:rtl/>
        </w:rPr>
      </w:pPr>
      <w:r>
        <w:rPr>
          <w:rFonts w:ascii="David" w:hAnsi="David"/>
          <w:b/>
          <w:bCs/>
          <w:rtl/>
        </w:rPr>
        <w:tab/>
      </w:r>
    </w:p>
    <w:p w:rsidR="005B3709" w:rsidRPr="005B3709" w:rsidRDefault="00E971B7" w:rsidP="00AE2DA5">
      <w:pPr>
        <w:spacing w:line="360" w:lineRule="auto"/>
        <w:ind w:left="720"/>
        <w:jc w:val="both"/>
        <w:rPr>
          <w:rFonts w:ascii="David" w:hAnsi="David"/>
          <w:rtl/>
        </w:rPr>
      </w:pPr>
      <w:r>
        <w:rPr>
          <w:rFonts w:ascii="David" w:hAnsi="David" w:hint="cs"/>
          <w:rtl/>
        </w:rPr>
        <w:t>כך גם בענייננו.</w:t>
      </w:r>
      <w:r w:rsidR="0077769E" w:rsidRPr="0077769E">
        <w:rPr>
          <w:rFonts w:ascii="David" w:hAnsi="David" w:hint="cs"/>
          <w:rtl/>
        </w:rPr>
        <w:t xml:space="preserve"> מעבר לקביעה כי יש לעכב את ההליכי</w:t>
      </w:r>
      <w:r>
        <w:rPr>
          <w:rFonts w:ascii="David" w:hAnsi="David" w:hint="cs"/>
          <w:rtl/>
        </w:rPr>
        <w:t xml:space="preserve">ם שנוהלו בפניו בשל תניית בוררות, </w:t>
      </w:r>
      <w:r w:rsidRPr="0077769E">
        <w:rPr>
          <w:rFonts w:ascii="David" w:hAnsi="David" w:hint="cs"/>
          <w:rtl/>
        </w:rPr>
        <w:t xml:space="preserve">החלטתו של בית המשפט קמא </w:t>
      </w:r>
      <w:r w:rsidR="0077769E" w:rsidRPr="0077769E">
        <w:rPr>
          <w:rFonts w:ascii="David" w:hAnsi="David" w:hint="cs"/>
          <w:rtl/>
        </w:rPr>
        <w:t xml:space="preserve">כללה גם החלטה בדבר ביטול ההמצאה. </w:t>
      </w:r>
      <w:r w:rsidR="005B3709" w:rsidRPr="0077769E">
        <w:rPr>
          <w:rFonts w:ascii="David" w:hAnsi="David" w:hint="cs"/>
          <w:rtl/>
        </w:rPr>
        <w:t>כאמור</w:t>
      </w:r>
      <w:r w:rsidR="005B3709" w:rsidRPr="005B3709">
        <w:rPr>
          <w:rFonts w:ascii="David" w:hAnsi="David" w:hint="cs"/>
          <w:rtl/>
        </w:rPr>
        <w:t xml:space="preserve"> לעיל</w:t>
      </w:r>
      <w:r>
        <w:rPr>
          <w:rFonts w:ascii="David" w:hAnsi="David" w:hint="cs"/>
          <w:rtl/>
        </w:rPr>
        <w:t>,</w:t>
      </w:r>
      <w:r w:rsidR="005B3709" w:rsidRPr="005B3709">
        <w:rPr>
          <w:rFonts w:ascii="David" w:hAnsi="David" w:hint="cs"/>
          <w:rtl/>
        </w:rPr>
        <w:t xml:space="preserve"> אף שבמקרה דנן לא נתבקשה הארכת מועד</w:t>
      </w:r>
      <w:r>
        <w:rPr>
          <w:rFonts w:ascii="David" w:hAnsi="David" w:hint="cs"/>
          <w:rtl/>
        </w:rPr>
        <w:t>,</w:t>
      </w:r>
      <w:r w:rsidR="005B3709" w:rsidRPr="005B3709">
        <w:rPr>
          <w:rFonts w:ascii="David" w:hAnsi="David" w:hint="cs"/>
          <w:rtl/>
        </w:rPr>
        <w:t xml:space="preserve"> אין להתעלם מבקשתה החלופית של המבקשת שיש לראותה </w:t>
      </w:r>
      <w:r w:rsidR="00AE2DA5">
        <w:rPr>
          <w:rFonts w:ascii="David" w:hAnsi="David" w:hint="cs"/>
          <w:rtl/>
        </w:rPr>
        <w:t xml:space="preserve">מבחינה </w:t>
      </w:r>
      <w:r w:rsidR="005B3709" w:rsidRPr="005B3709">
        <w:rPr>
          <w:rFonts w:ascii="David" w:hAnsi="David" w:hint="cs"/>
          <w:rtl/>
        </w:rPr>
        <w:t>מהותית</w:t>
      </w:r>
      <w:r>
        <w:rPr>
          <w:rFonts w:ascii="David" w:hAnsi="David" w:hint="cs"/>
          <w:rtl/>
        </w:rPr>
        <w:t xml:space="preserve"> </w:t>
      </w:r>
      <w:r w:rsidR="00AE2DA5">
        <w:rPr>
          <w:rFonts w:ascii="David" w:hAnsi="David" w:hint="cs"/>
          <w:rtl/>
        </w:rPr>
        <w:t>כשקולה ל</w:t>
      </w:r>
      <w:r w:rsidR="005B3709" w:rsidRPr="005B3709">
        <w:rPr>
          <w:rFonts w:ascii="David" w:hAnsi="David" w:hint="cs"/>
          <w:rtl/>
        </w:rPr>
        <w:t xml:space="preserve">בקשה להארכת מועד. </w:t>
      </w:r>
    </w:p>
    <w:p w:rsidR="00663992" w:rsidRDefault="00663992" w:rsidP="00663992">
      <w:pPr>
        <w:pStyle w:val="ad"/>
        <w:spacing w:line="360" w:lineRule="auto"/>
        <w:jc w:val="both"/>
        <w:rPr>
          <w:rFonts w:ascii="David" w:hAnsi="David"/>
          <w:b/>
          <w:bCs/>
          <w:rtl/>
        </w:rPr>
      </w:pPr>
    </w:p>
    <w:p w:rsidR="009026DB" w:rsidRPr="005F504D" w:rsidRDefault="005B3709" w:rsidP="00C47BEF">
      <w:pPr>
        <w:pStyle w:val="ad"/>
        <w:numPr>
          <w:ilvl w:val="0"/>
          <w:numId w:val="1"/>
        </w:numPr>
        <w:spacing w:line="360" w:lineRule="auto"/>
        <w:jc w:val="both"/>
        <w:rPr>
          <w:rFonts w:ascii="Arial" w:hAnsi="Arial"/>
          <w:b/>
          <w:bCs/>
          <w:noProof w:val="0"/>
        </w:rPr>
      </w:pPr>
      <w:r w:rsidRPr="005F504D">
        <w:rPr>
          <w:rFonts w:ascii="Arial" w:hAnsi="Arial" w:hint="cs"/>
          <w:noProof w:val="0"/>
          <w:rtl/>
        </w:rPr>
        <w:t xml:space="preserve">תקנה 176 לתקנות סדר הדין האזרחי קובעת כי </w:t>
      </w:r>
      <w:r w:rsidR="009026DB" w:rsidRPr="005F504D">
        <w:rPr>
          <w:rFonts w:ascii="Arial" w:hAnsi="Arial" w:hint="cs"/>
          <w:b/>
          <w:bCs/>
          <w:noProof w:val="0"/>
          <w:rtl/>
        </w:rPr>
        <w:t>"</w:t>
      </w:r>
      <w:r w:rsidR="009026DB" w:rsidRPr="005F504D">
        <w:rPr>
          <w:rFonts w:ascii="Arial" w:hAnsi="Arial"/>
          <w:b/>
          <w:bCs/>
          <w:noProof w:val="0"/>
          <w:rtl/>
        </w:rPr>
        <w:t>(א)בית המשפט רשאי לתת בכל עת הוראות לכל עניין שבסדרי הדין וכן לתקן כל פגם או טעות בכל הליך לרבות בעניין שהוכרע לפי תקנה 33(ד) אם ראה לנכון צורך בכך לשם הגשמת מטרת תקנות אלה.</w:t>
      </w:r>
    </w:p>
    <w:p w:rsidR="009026DB" w:rsidRDefault="009026DB" w:rsidP="009026DB">
      <w:pPr>
        <w:pStyle w:val="ad"/>
        <w:spacing w:line="360" w:lineRule="auto"/>
        <w:jc w:val="both"/>
        <w:rPr>
          <w:rFonts w:ascii="Arial" w:hAnsi="Arial"/>
          <w:b/>
          <w:bCs/>
          <w:noProof w:val="0"/>
          <w:rtl/>
        </w:rPr>
      </w:pPr>
      <w:r w:rsidRPr="009026DB">
        <w:rPr>
          <w:rFonts w:ascii="Arial" w:hAnsi="Arial"/>
          <w:b/>
          <w:bCs/>
          <w:noProof w:val="0"/>
          <w:rtl/>
        </w:rPr>
        <w:t>(ב)בית המשפט רשאי לתת הוראות בדבר היקף כתב טענות; נקבע בתקנות אלה או בכל חיקוק זמן לעשיית דבר או להימנע מעשיית דבר או מדד להיקף כתב טענות, יחול האמור כל עוד בית המשפט לא הורה אחרת מטעמים מיוחדים</w:t>
      </w:r>
      <w:r w:rsidRPr="009026DB">
        <w:rPr>
          <w:rFonts w:ascii="Arial" w:hAnsi="Arial" w:hint="cs"/>
          <w:b/>
          <w:bCs/>
          <w:noProof w:val="0"/>
          <w:rtl/>
        </w:rPr>
        <w:t>"</w:t>
      </w:r>
      <w:r w:rsidRPr="009026DB">
        <w:rPr>
          <w:rFonts w:ascii="Arial" w:hAnsi="Arial"/>
          <w:b/>
          <w:bCs/>
          <w:noProof w:val="0"/>
          <w:rtl/>
        </w:rPr>
        <w:t>.</w:t>
      </w:r>
    </w:p>
    <w:p w:rsidR="00453114" w:rsidRDefault="00453114" w:rsidP="009026DB">
      <w:pPr>
        <w:pStyle w:val="ad"/>
        <w:spacing w:line="360" w:lineRule="auto"/>
        <w:jc w:val="both"/>
        <w:rPr>
          <w:rFonts w:ascii="Arial" w:hAnsi="Arial"/>
          <w:b/>
          <w:bCs/>
          <w:noProof w:val="0"/>
          <w:rtl/>
        </w:rPr>
      </w:pPr>
    </w:p>
    <w:p w:rsidR="00453114" w:rsidRDefault="00453114" w:rsidP="00AE2DA5">
      <w:pPr>
        <w:pStyle w:val="ad"/>
        <w:numPr>
          <w:ilvl w:val="0"/>
          <w:numId w:val="1"/>
        </w:numPr>
        <w:spacing w:line="360" w:lineRule="auto"/>
        <w:jc w:val="both"/>
        <w:rPr>
          <w:rFonts w:ascii="David" w:hAnsi="David"/>
          <w:b/>
          <w:bCs/>
          <w:noProof w:val="0"/>
        </w:rPr>
      </w:pPr>
      <w:r>
        <w:rPr>
          <w:rFonts w:ascii="David" w:hAnsi="David"/>
          <w:noProof w:val="0"/>
          <w:rtl/>
        </w:rPr>
        <w:lastRenderedPageBreak/>
        <w:t>לעניין הטעות כטעם מיוחד למתן ארכה</w:t>
      </w:r>
      <w:r>
        <w:rPr>
          <w:rFonts w:ascii="David" w:hAnsi="David" w:hint="cs"/>
          <w:noProof w:val="0"/>
          <w:rtl/>
        </w:rPr>
        <w:t xml:space="preserve"> להארכת מועד</w:t>
      </w:r>
      <w:r>
        <w:rPr>
          <w:rFonts w:ascii="David" w:hAnsi="David"/>
          <w:noProof w:val="0"/>
          <w:rtl/>
        </w:rPr>
        <w:t xml:space="preserve">, יפים הדברים שהובאו על ידי כב' השופט מינץ בבש"א 7955/19 </w:t>
      </w:r>
      <w:r>
        <w:rPr>
          <w:rFonts w:ascii="David" w:hAnsi="David"/>
          <w:b/>
          <w:bCs/>
          <w:noProof w:val="0"/>
          <w:rtl/>
        </w:rPr>
        <w:t>חמדאן וגאדה נ' פקיד שומה פתח תקוה – רשות המיסים</w:t>
      </w:r>
      <w:r>
        <w:rPr>
          <w:rFonts w:ascii="David" w:hAnsi="David"/>
          <w:noProof w:val="0"/>
          <w:rtl/>
        </w:rPr>
        <w:t xml:space="preserve"> (8.12.2019). על אף שבאותו מקרה לא מצא כב' השופט  לנכון להאריך את המועד, הרי שלדברים שהובאו יש רלוונטיות במקרה דנן. להלן הדברים: </w:t>
      </w:r>
      <w:r>
        <w:rPr>
          <w:rFonts w:ascii="David" w:hAnsi="David"/>
          <w:b/>
          <w:bCs/>
          <w:noProof w:val="0"/>
          <w:rtl/>
        </w:rPr>
        <w:t>"כידוע, על המבקש הארכת מועד להגשת הליך לשכנע את בית המשפט כי קיים "טעם מיוחד" למתן ארכה המבוקשת (תקנה 528 לתקנות; וראו לאחרונה: בש"א 7814/19 כהן נ' איי.די.איי חברה לביטוח בע"מ (27.11.2019)). ככלל, טעות שבדין אינה מהווה "טעם מיוחד" להארכת מועד, אלא אם מדובר בטעות סבירה, כאשר סבירות זו נמדדת לפי הקושי בהבנת הדין ובמאמצים הכנים שנעשו על ידי מבקש ההארכה להימנע מן הטעות (בש"מ 6229/11 דון יחיא נ' הועדה המקומית לתכנון ובניה, חיפה, פסקה 8 (10.1.2012)). עם זאת, עם השנים רוכך הכלל, ונקבע כי בנסיבות מסוימות בהן מדובר בטעות שאין מקורה ברשלנות, הזנחה או זלזול בבית המשפט יהיה מקום להכיר בטעות כ"טעם מיוחד". כמו כן יש לשקול את סיכויי ההליך לגביו מתבקשת הארכת המועד (רע"א 1273/15 מאירפלד השקעות וניהול בע"מ נ' סטרפלאסט תעשיות 1967 בע"מ, פסקה 17 (21.4.2015; בש"א 8010/14 פלג נ' פבריקנט את סלנט גרופ בע"מ, פסקה 4 (18.1.2015))</w:t>
      </w:r>
      <w:r w:rsidR="00E971B7">
        <w:rPr>
          <w:rFonts w:ascii="David" w:hAnsi="David" w:hint="cs"/>
          <w:b/>
          <w:bCs/>
          <w:noProof w:val="0"/>
          <w:rtl/>
        </w:rPr>
        <w:t>"</w:t>
      </w:r>
      <w:r>
        <w:rPr>
          <w:rFonts w:ascii="David" w:hAnsi="David"/>
          <w:b/>
          <w:bCs/>
          <w:noProof w:val="0"/>
          <w:rtl/>
        </w:rPr>
        <w:t xml:space="preserve">. </w:t>
      </w:r>
    </w:p>
    <w:p w:rsidR="00453114" w:rsidRPr="00453114" w:rsidRDefault="00453114" w:rsidP="00453114">
      <w:pPr>
        <w:pStyle w:val="ad"/>
        <w:spacing w:line="360" w:lineRule="auto"/>
        <w:jc w:val="both"/>
        <w:rPr>
          <w:b/>
          <w:bCs/>
          <w:sz w:val="26"/>
        </w:rPr>
      </w:pPr>
    </w:p>
    <w:p w:rsidR="00816161" w:rsidRPr="005F504D" w:rsidRDefault="00AE2DA5" w:rsidP="00AE2DA5">
      <w:pPr>
        <w:pStyle w:val="ad"/>
        <w:numPr>
          <w:ilvl w:val="0"/>
          <w:numId w:val="1"/>
        </w:numPr>
        <w:spacing w:line="360" w:lineRule="auto"/>
        <w:jc w:val="both"/>
        <w:rPr>
          <w:sz w:val="26"/>
        </w:rPr>
      </w:pPr>
      <w:r>
        <w:rPr>
          <w:rFonts w:ascii="Arial" w:hAnsi="Arial" w:hint="cs"/>
          <w:noProof w:val="0"/>
          <w:rtl/>
        </w:rPr>
        <w:t>יפים הדברים שהובאו על ידי כב' השופט</w:t>
      </w:r>
      <w:r w:rsidR="00DB6B89" w:rsidRPr="005F504D">
        <w:rPr>
          <w:rFonts w:ascii="Arial" w:hAnsi="Arial" w:hint="cs"/>
          <w:noProof w:val="0"/>
          <w:rtl/>
        </w:rPr>
        <w:t xml:space="preserve"> אהרן פרקש ב</w:t>
      </w:r>
      <w:r w:rsidR="00DB6B89" w:rsidRPr="005F504D">
        <w:rPr>
          <w:rFonts w:hint="cs"/>
          <w:sz w:val="26"/>
          <w:rtl/>
        </w:rPr>
        <w:t xml:space="preserve">בר"ע (י-ם) </w:t>
      </w:r>
      <w:r w:rsidR="00DB6B89" w:rsidRPr="005F504D">
        <w:rPr>
          <w:rFonts w:ascii="David" w:hAnsi="David"/>
          <w:rtl/>
        </w:rPr>
        <w:t xml:space="preserve">815/05 </w:t>
      </w:r>
      <w:r w:rsidR="00DB6B89" w:rsidRPr="005F504D">
        <w:rPr>
          <w:rFonts w:ascii="David" w:hAnsi="David"/>
          <w:b/>
          <w:bCs/>
          <w:rtl/>
        </w:rPr>
        <w:t xml:space="preserve">בנק ירושלים בע"מ נ' מנהל מקרקעי ישראל </w:t>
      </w:r>
      <w:r w:rsidR="00DB6B89" w:rsidRPr="005F504D">
        <w:rPr>
          <w:rFonts w:ascii="David" w:hAnsi="David"/>
          <w:rtl/>
        </w:rPr>
        <w:t>(פורסם בנבו, 20.2.2006</w:t>
      </w:r>
      <w:r w:rsidR="00DB6B89" w:rsidRPr="005F504D">
        <w:rPr>
          <w:rFonts w:ascii="David" w:hAnsi="David" w:hint="cs"/>
          <w:rtl/>
        </w:rPr>
        <w:t>)</w:t>
      </w:r>
      <w:r w:rsidR="00E971B7">
        <w:rPr>
          <w:rFonts w:ascii="David" w:hAnsi="David" w:hint="cs"/>
          <w:rtl/>
        </w:rPr>
        <w:t xml:space="preserve"> </w:t>
      </w:r>
      <w:r>
        <w:rPr>
          <w:rFonts w:ascii="David" w:hAnsi="David" w:hint="cs"/>
          <w:rtl/>
        </w:rPr>
        <w:t xml:space="preserve">שהפנה גם לדבריו של </w:t>
      </w:r>
      <w:r w:rsidR="00816161" w:rsidRPr="005F504D">
        <w:rPr>
          <w:rFonts w:ascii="David" w:hAnsi="David" w:hint="cs"/>
          <w:rtl/>
        </w:rPr>
        <w:t>כב' השופט אוקון בעניין אחר. להלן הדברים:</w:t>
      </w:r>
      <w:r w:rsidR="00816161" w:rsidRPr="005F504D">
        <w:rPr>
          <w:rFonts w:ascii="David" w:hAnsi="David" w:hint="cs"/>
          <w:b/>
          <w:bCs/>
          <w:rtl/>
        </w:rPr>
        <w:t xml:space="preserve"> </w:t>
      </w:r>
      <w:r w:rsidR="00DB6B89" w:rsidRPr="005F504D">
        <w:rPr>
          <w:rFonts w:ascii="David" w:hAnsi="David"/>
          <w:b/>
          <w:bCs/>
          <w:rtl/>
        </w:rPr>
        <w:t>"לאחרונה חל ריכוך של ההלכה הנוקשה בסוגיית הארכת המועד מחמת טעות שבדין (</w:t>
      </w:r>
      <w:hyperlink r:id="rId13" w:history="1">
        <w:r w:rsidR="00DB6B89" w:rsidRPr="005F504D">
          <w:rPr>
            <w:rStyle w:val="Hyperlink"/>
            <w:rFonts w:ascii="David" w:hAnsi="David"/>
            <w:b/>
            <w:bCs/>
            <w:color w:val="auto"/>
            <w:u w:val="none"/>
            <w:rtl/>
          </w:rPr>
          <w:t>בש"א 6708/00 יוסף אהרון נ' אהרון אמנון, פ"ד נד</w:t>
        </w:r>
      </w:hyperlink>
      <w:r w:rsidR="00DB6B89" w:rsidRPr="005F504D">
        <w:rPr>
          <w:rFonts w:ascii="David" w:hAnsi="David"/>
          <w:b/>
          <w:bCs/>
          <w:rtl/>
        </w:rPr>
        <w:t xml:space="preserve">(4) 702; </w:t>
      </w:r>
      <w:hyperlink r:id="rId14" w:history="1">
        <w:r w:rsidR="00DB6B89" w:rsidRPr="005F504D">
          <w:rPr>
            <w:rStyle w:val="Hyperlink"/>
            <w:rFonts w:ascii="David" w:hAnsi="David"/>
            <w:b/>
            <w:bCs/>
            <w:color w:val="auto"/>
            <w:u w:val="none"/>
            <w:rtl/>
          </w:rPr>
          <w:t>רע"א 9073/01</w:t>
        </w:r>
      </w:hyperlink>
      <w:r w:rsidR="00DB6B89" w:rsidRPr="005F504D">
        <w:rPr>
          <w:rFonts w:ascii="David" w:hAnsi="David"/>
          <w:b/>
          <w:bCs/>
          <w:rtl/>
        </w:rPr>
        <w:t xml:space="preserve"> יהודית פרנקו סידי נ' הרשות המוסמכת לפי חוק נכי רדיפות הנאצים, תק-על 2002(1) 745). דברים שכתב כב' הרשם (כתוארו אז) ב. אוקון בעניין בקשה להארכת מועד לקיום דיון נוסף, יפים ונכונים הם גם לענייננו:</w:t>
      </w:r>
      <w:r w:rsidR="00DB6B89" w:rsidRPr="005F504D">
        <w:rPr>
          <w:rFonts w:ascii="David" w:hAnsi="David"/>
          <w:b/>
          <w:bCs/>
          <w:noProof w:val="0"/>
          <w:rtl/>
        </w:rPr>
        <w:t xml:space="preserve"> </w:t>
      </w:r>
      <w:r w:rsidR="00DB6B89" w:rsidRPr="005F504D">
        <w:rPr>
          <w:rFonts w:ascii="David" w:hAnsi="David"/>
          <w:b/>
          <w:bCs/>
          <w:rtl/>
        </w:rPr>
        <w:t xml:space="preserve">"לא ניתן להותיר אי מבודד של חוסר התחשבות בטעות שבדין, רק בתחום סדרי הדין. סדרי הדין הם משרת יעיל, אך אדון מסוכן. התעלמות מהם היא מסימני ההיכר של שיטה רופפת ופרומה, אך דבקות יתר, במקום בו נדרשת התחשבות, עלולה להיתפס כקפריזית ושרירותית. סדרי הדין נועדו לצנן אך לא להקפיא, לווסת ולנתב אך לא לשתק. בסופו של יום, סדרי הדין נועדו להגשים זכויות מהותיות, ואלה צריכות לעשות את שלהן. גישה מהותית מרחיבה, שתום הלב הוא ממי התהום שלה, אינה יכולה להיות מלווה על ידי סדרי דין קפוצים ונוקשים יתר על המידה. התרבות המשפטית נבחנת לא רק על ידי הזכויות המוגנות. לעיתים דווקא דרכי הגישה הן המהוות בבואה אמיתית למצבו של המתדיין. על כן, נראה </w:t>
      </w:r>
      <w:r w:rsidR="00DB6B89" w:rsidRPr="005F504D">
        <w:rPr>
          <w:rFonts w:ascii="David" w:hAnsi="David"/>
          <w:b/>
          <w:bCs/>
          <w:rtl/>
        </w:rPr>
        <w:lastRenderedPageBreak/>
        <w:t>כי אין לשלול בכל מקרה כל בקשה למתן ארכה בשל טעות בדין בנוגע למועד הגשת העתירה לדיון נוסף... מקום שעוצמת הפגיעה בציפיות... היא פחותה, ניתן יהיה להכיר בטעות. כך, למשל, ניתנה הארכת מועד מקום בו נתן בעל הדין הודעה לבעל הדין האחר, ביחס לכוונתו להגיש עתירה לדיון נוסף. ההודעה שללה את צפייתו של בעל הדין האחר להתגבשות "מעין חסינות" מפני המשך ההליכים (בש"א 2108/99 עזבון המנוח סמואל נ' אלינא אוריאלי, תקדין עליון 487 (1)2000</w:t>
      </w:r>
      <w:r w:rsidR="00DB6B89" w:rsidRPr="005F504D">
        <w:rPr>
          <w:rFonts w:ascii="David" w:hAnsi="David"/>
          <w:rtl/>
        </w:rPr>
        <w:t>)..."</w:t>
      </w:r>
      <w:r w:rsidR="00DB6B89" w:rsidRPr="005F504D">
        <w:rPr>
          <w:rFonts w:ascii="David" w:hAnsi="David"/>
        </w:rPr>
        <w:t xml:space="preserve"> </w:t>
      </w:r>
      <w:r w:rsidR="00DB6B89" w:rsidRPr="005F504D">
        <w:rPr>
          <w:rFonts w:ascii="David" w:hAnsi="David"/>
          <w:b/>
          <w:bCs/>
          <w:rtl/>
        </w:rPr>
        <w:t>(</w:t>
      </w:r>
      <w:hyperlink r:id="rId15" w:history="1">
        <w:r w:rsidR="00DB6B89" w:rsidRPr="005F504D">
          <w:rPr>
            <w:rStyle w:val="Hyperlink"/>
            <w:rFonts w:ascii="David" w:hAnsi="David"/>
            <w:b/>
            <w:bCs/>
            <w:color w:val="auto"/>
            <w:u w:val="none"/>
            <w:rtl/>
          </w:rPr>
          <w:t>בש"א 6708/00</w:t>
        </w:r>
      </w:hyperlink>
      <w:r w:rsidR="00DB6B89" w:rsidRPr="005F504D">
        <w:rPr>
          <w:rFonts w:ascii="David" w:hAnsi="David"/>
          <w:b/>
          <w:bCs/>
          <w:rtl/>
        </w:rPr>
        <w:t xml:space="preserve"> הנ"ל, עמ' 705).</w:t>
      </w:r>
      <w:r w:rsidR="00DB6B89" w:rsidRPr="005F504D">
        <w:rPr>
          <w:rFonts w:ascii="David" w:hAnsi="David"/>
          <w:b/>
          <w:bCs/>
          <w:noProof w:val="0"/>
          <w:rtl/>
        </w:rPr>
        <w:t xml:space="preserve"> </w:t>
      </w:r>
    </w:p>
    <w:p w:rsidR="005F504D" w:rsidRPr="005F504D" w:rsidRDefault="005F504D" w:rsidP="005F504D">
      <w:pPr>
        <w:pStyle w:val="ad"/>
        <w:spacing w:line="360" w:lineRule="auto"/>
        <w:jc w:val="both"/>
        <w:rPr>
          <w:sz w:val="26"/>
          <w:rtl/>
        </w:rPr>
      </w:pPr>
    </w:p>
    <w:p w:rsidR="00EC32CB" w:rsidRDefault="00816161" w:rsidP="005F504D">
      <w:pPr>
        <w:pStyle w:val="ad"/>
        <w:spacing w:line="360" w:lineRule="auto"/>
        <w:jc w:val="both"/>
        <w:rPr>
          <w:rFonts w:ascii="Arial" w:hAnsi="Arial"/>
          <w:noProof w:val="0"/>
          <w:rtl/>
        </w:rPr>
      </w:pPr>
      <w:r w:rsidRPr="00816161">
        <w:rPr>
          <w:rFonts w:hint="cs"/>
          <w:sz w:val="26"/>
          <w:rtl/>
        </w:rPr>
        <w:t>(וראו גם פסק דינ</w:t>
      </w:r>
      <w:r w:rsidR="005F504D">
        <w:rPr>
          <w:rFonts w:hint="cs"/>
          <w:sz w:val="26"/>
          <w:rtl/>
        </w:rPr>
        <w:t>ה</w:t>
      </w:r>
      <w:r w:rsidRPr="00816161">
        <w:rPr>
          <w:rFonts w:hint="cs"/>
          <w:sz w:val="26"/>
          <w:rtl/>
        </w:rPr>
        <w:t xml:space="preserve"> של כב' </w:t>
      </w:r>
      <w:r>
        <w:rPr>
          <w:rFonts w:hint="cs"/>
          <w:sz w:val="26"/>
          <w:rtl/>
        </w:rPr>
        <w:t xml:space="preserve">השופטת ת. שרון - נתנאל </w:t>
      </w:r>
      <w:r>
        <w:rPr>
          <w:rFonts w:ascii="Arial" w:hAnsi="Arial" w:hint="cs"/>
          <w:noProof w:val="0"/>
          <w:rtl/>
        </w:rPr>
        <w:t>ב</w:t>
      </w:r>
      <w:r w:rsidR="005B3709" w:rsidRPr="00453114">
        <w:rPr>
          <w:rFonts w:ascii="Arial" w:hAnsi="Arial" w:hint="cs"/>
          <w:noProof w:val="0"/>
          <w:rtl/>
        </w:rPr>
        <w:t xml:space="preserve">ת"א (מחוזי חיפה) 4783/07 </w:t>
      </w:r>
      <w:r w:rsidR="005B3709" w:rsidRPr="00453114">
        <w:rPr>
          <w:rFonts w:ascii="Arial" w:hAnsi="Arial" w:hint="cs"/>
          <w:b/>
          <w:bCs/>
          <w:noProof w:val="0"/>
          <w:rtl/>
        </w:rPr>
        <w:t>רחל ירום נ' אוניברסיטת חיפה</w:t>
      </w:r>
      <w:r>
        <w:rPr>
          <w:rFonts w:ascii="Arial" w:hAnsi="Arial" w:hint="cs"/>
          <w:noProof w:val="0"/>
          <w:rtl/>
        </w:rPr>
        <w:t xml:space="preserve"> (פורסם בנבו, 18.11.2007).</w:t>
      </w:r>
    </w:p>
    <w:p w:rsidR="00816161" w:rsidRPr="00DB6B89" w:rsidRDefault="00816161" w:rsidP="00816161">
      <w:pPr>
        <w:pStyle w:val="ad"/>
        <w:spacing w:line="360" w:lineRule="auto"/>
        <w:jc w:val="both"/>
        <w:rPr>
          <w:rFonts w:ascii="Arial" w:hAnsi="Arial"/>
          <w:noProof w:val="0"/>
        </w:rPr>
      </w:pPr>
    </w:p>
    <w:p w:rsidR="00895C02" w:rsidRDefault="005F504D" w:rsidP="00895C02">
      <w:pPr>
        <w:pStyle w:val="ad"/>
        <w:numPr>
          <w:ilvl w:val="0"/>
          <w:numId w:val="1"/>
        </w:numPr>
        <w:spacing w:line="360" w:lineRule="auto"/>
        <w:jc w:val="both"/>
        <w:rPr>
          <w:rFonts w:ascii="Arial" w:hAnsi="Arial"/>
          <w:noProof w:val="0"/>
        </w:rPr>
      </w:pPr>
      <w:r>
        <w:rPr>
          <w:rFonts w:ascii="Arial" w:hAnsi="Arial" w:hint="cs"/>
          <w:noProof w:val="0"/>
          <w:rtl/>
        </w:rPr>
        <w:t xml:space="preserve">מתן ארכה להגשת ערעור מתיישבת </w:t>
      </w:r>
      <w:r w:rsidR="00AE2DA5">
        <w:rPr>
          <w:rFonts w:ascii="Arial" w:hAnsi="Arial" w:hint="cs"/>
          <w:noProof w:val="0"/>
          <w:rtl/>
        </w:rPr>
        <w:t xml:space="preserve">גם </w:t>
      </w:r>
      <w:r>
        <w:rPr>
          <w:rFonts w:ascii="Arial" w:hAnsi="Arial" w:hint="cs"/>
          <w:noProof w:val="0"/>
          <w:rtl/>
        </w:rPr>
        <w:t>עם מטר</w:t>
      </w:r>
      <w:r w:rsidR="00FD6A83">
        <w:rPr>
          <w:rFonts w:ascii="Arial" w:hAnsi="Arial" w:hint="cs"/>
          <w:noProof w:val="0"/>
          <w:rtl/>
        </w:rPr>
        <w:t>ו</w:t>
      </w:r>
      <w:r>
        <w:rPr>
          <w:rFonts w:ascii="Arial" w:hAnsi="Arial" w:hint="cs"/>
          <w:noProof w:val="0"/>
          <w:rtl/>
        </w:rPr>
        <w:t>ת תקנות סדר הדין.</w:t>
      </w:r>
      <w:r w:rsidR="00895C02">
        <w:rPr>
          <w:rFonts w:ascii="Arial" w:hAnsi="Arial" w:hint="cs"/>
          <w:noProof w:val="0"/>
          <w:rtl/>
        </w:rPr>
        <w:t xml:space="preserve"> כך נקבע בתקנה 1 כי מטרתן </w:t>
      </w:r>
      <w:r w:rsidR="00895C02" w:rsidRPr="00895C02">
        <w:rPr>
          <w:rFonts w:ascii="Arial" w:hAnsi="Arial" w:hint="cs"/>
          <w:b/>
          <w:bCs/>
          <w:noProof w:val="0"/>
          <w:rtl/>
        </w:rPr>
        <w:t xml:space="preserve">"לקבוע סדרי דין לניהול ההליכים האזרחיים בבית המשפט, ליצור ודאות דיונית, למנוע שרירותיות </w:t>
      </w:r>
      <w:r w:rsidR="00895C02" w:rsidRPr="00AE2DA5">
        <w:rPr>
          <w:rFonts w:ascii="Arial" w:hAnsi="Arial" w:hint="cs"/>
          <w:b/>
          <w:bCs/>
          <w:noProof w:val="0"/>
          <w:u w:val="single"/>
          <w:rtl/>
        </w:rPr>
        <w:t xml:space="preserve">ולהגשים את העקרונות החוקתיים העומדים ביסודו של הליך שיפוטי ראוי והוגן </w:t>
      </w:r>
      <w:r w:rsidR="00895C02" w:rsidRPr="00895C02">
        <w:rPr>
          <w:rFonts w:ascii="Arial" w:hAnsi="Arial" w:hint="cs"/>
          <w:b/>
          <w:bCs/>
          <w:noProof w:val="0"/>
          <w:rtl/>
        </w:rPr>
        <w:t>כדי להגיע לחקר האמת ולהציג תוצאה נכונה ופתרון צודק של הסכסוך"</w:t>
      </w:r>
      <w:r w:rsidR="00895C02">
        <w:rPr>
          <w:rFonts w:ascii="Arial" w:hAnsi="Arial" w:hint="cs"/>
          <w:b/>
          <w:bCs/>
          <w:noProof w:val="0"/>
          <w:rtl/>
        </w:rPr>
        <w:t>.</w:t>
      </w:r>
    </w:p>
    <w:p w:rsidR="00AF0F58" w:rsidRPr="00895C02" w:rsidRDefault="00AF0F58" w:rsidP="00AF0F58">
      <w:pPr>
        <w:pStyle w:val="ad"/>
        <w:spacing w:line="360" w:lineRule="auto"/>
        <w:jc w:val="both"/>
        <w:rPr>
          <w:rFonts w:ascii="Arial" w:hAnsi="Arial"/>
          <w:noProof w:val="0"/>
        </w:rPr>
      </w:pPr>
    </w:p>
    <w:p w:rsidR="00C04529" w:rsidRDefault="00895C02" w:rsidP="00C04529">
      <w:pPr>
        <w:pStyle w:val="ad"/>
        <w:numPr>
          <w:ilvl w:val="0"/>
          <w:numId w:val="1"/>
        </w:numPr>
        <w:spacing w:line="360" w:lineRule="auto"/>
        <w:jc w:val="both"/>
        <w:rPr>
          <w:rFonts w:ascii="Arial" w:hAnsi="Arial"/>
          <w:noProof w:val="0"/>
        </w:rPr>
      </w:pPr>
      <w:r w:rsidRPr="00AF0F58">
        <w:rPr>
          <w:rFonts w:ascii="Arial" w:hAnsi="Arial" w:hint="cs"/>
          <w:noProof w:val="0"/>
          <w:rtl/>
        </w:rPr>
        <w:t>במקרה דנן</w:t>
      </w:r>
      <w:r w:rsidR="00E971B7">
        <w:rPr>
          <w:rFonts w:ascii="Arial" w:hAnsi="Arial" w:hint="cs"/>
          <w:noProof w:val="0"/>
          <w:rtl/>
        </w:rPr>
        <w:t>,</w:t>
      </w:r>
      <w:r w:rsidRPr="00AF0F58">
        <w:rPr>
          <w:rFonts w:ascii="Arial" w:hAnsi="Arial" w:hint="cs"/>
          <w:noProof w:val="0"/>
          <w:rtl/>
        </w:rPr>
        <w:t xml:space="preserve"> מחיקת הערעור הייתה אך מהטעם ש</w:t>
      </w:r>
      <w:r w:rsidR="00E971B7">
        <w:rPr>
          <w:rFonts w:ascii="Arial" w:hAnsi="Arial" w:hint="cs"/>
          <w:noProof w:val="0"/>
          <w:rtl/>
        </w:rPr>
        <w:t>הוגש ערעור בזכות חלף</w:t>
      </w:r>
      <w:r w:rsidRPr="00AF0F58">
        <w:rPr>
          <w:rFonts w:ascii="Arial" w:hAnsi="Arial" w:hint="cs"/>
          <w:noProof w:val="0"/>
          <w:rtl/>
        </w:rPr>
        <w:t xml:space="preserve"> בקשת רשות ערעור. לא הת</w:t>
      </w:r>
      <w:r w:rsidR="00AF0F58">
        <w:rPr>
          <w:rFonts w:ascii="Arial" w:hAnsi="Arial" w:hint="cs"/>
          <w:noProof w:val="0"/>
          <w:rtl/>
        </w:rPr>
        <w:t>ק</w:t>
      </w:r>
      <w:r w:rsidRPr="00AF0F58">
        <w:rPr>
          <w:rFonts w:ascii="Arial" w:hAnsi="Arial" w:hint="cs"/>
          <w:noProof w:val="0"/>
          <w:rtl/>
        </w:rPr>
        <w:t>יים דיון לגופו של עניין בטענות המבקשת ולכן סגירת הדלת בפניה</w:t>
      </w:r>
      <w:r w:rsidR="00AE2DA5">
        <w:rPr>
          <w:rFonts w:ascii="Arial" w:hAnsi="Arial" w:hint="cs"/>
          <w:noProof w:val="0"/>
          <w:rtl/>
        </w:rPr>
        <w:t xml:space="preserve"> כעת</w:t>
      </w:r>
      <w:r w:rsidRPr="00AF0F58">
        <w:rPr>
          <w:rFonts w:ascii="Arial" w:hAnsi="Arial" w:hint="cs"/>
          <w:noProof w:val="0"/>
          <w:rtl/>
        </w:rPr>
        <w:t xml:space="preserve"> ואי מתן אפשרות להביא טענותיה בפני ערכאת הערעור</w:t>
      </w:r>
      <w:r w:rsidR="00E971B7">
        <w:rPr>
          <w:rFonts w:ascii="Arial" w:hAnsi="Arial" w:hint="cs"/>
          <w:noProof w:val="0"/>
          <w:rtl/>
        </w:rPr>
        <w:t>,</w:t>
      </w:r>
      <w:r w:rsidRPr="00AF0F58">
        <w:rPr>
          <w:rFonts w:ascii="Arial" w:hAnsi="Arial" w:hint="cs"/>
          <w:noProof w:val="0"/>
          <w:rtl/>
        </w:rPr>
        <w:t xml:space="preserve"> תגרום לה עוול ותפגע קשות ב</w:t>
      </w:r>
      <w:r w:rsidR="00AF0F58">
        <w:rPr>
          <w:rFonts w:ascii="Arial" w:hAnsi="Arial" w:hint="cs"/>
          <w:noProof w:val="0"/>
          <w:rtl/>
        </w:rPr>
        <w:t>ז</w:t>
      </w:r>
      <w:r w:rsidRPr="00AF0F58">
        <w:rPr>
          <w:rFonts w:ascii="Arial" w:hAnsi="Arial" w:hint="cs"/>
          <w:noProof w:val="0"/>
          <w:rtl/>
        </w:rPr>
        <w:t>כות הג</w:t>
      </w:r>
      <w:r w:rsidR="00AF0F58" w:rsidRPr="00AF0F58">
        <w:rPr>
          <w:rFonts w:ascii="Arial" w:hAnsi="Arial" w:hint="cs"/>
          <w:noProof w:val="0"/>
          <w:rtl/>
        </w:rPr>
        <w:t xml:space="preserve">ישה </w:t>
      </w:r>
      <w:r w:rsidR="00AE2DA5">
        <w:rPr>
          <w:rFonts w:ascii="Arial" w:hAnsi="Arial" w:hint="cs"/>
          <w:noProof w:val="0"/>
          <w:rtl/>
        </w:rPr>
        <w:t xml:space="preserve">שלה </w:t>
      </w:r>
      <w:r w:rsidR="00AF0F58" w:rsidRPr="00AF0F58">
        <w:rPr>
          <w:rFonts w:ascii="Arial" w:hAnsi="Arial" w:hint="cs"/>
          <w:noProof w:val="0"/>
          <w:rtl/>
        </w:rPr>
        <w:t>לערכאות</w:t>
      </w:r>
      <w:r w:rsidR="00AF0F58">
        <w:rPr>
          <w:rFonts w:ascii="Arial" w:hAnsi="Arial" w:hint="cs"/>
          <w:noProof w:val="0"/>
          <w:rtl/>
        </w:rPr>
        <w:t xml:space="preserve">. </w:t>
      </w:r>
    </w:p>
    <w:p w:rsidR="00C04529" w:rsidRPr="00C04529" w:rsidRDefault="00C04529" w:rsidP="00C04529">
      <w:pPr>
        <w:pStyle w:val="ad"/>
        <w:rPr>
          <w:rFonts w:ascii="Arial" w:hAnsi="Arial"/>
          <w:noProof w:val="0"/>
          <w:rtl/>
        </w:rPr>
      </w:pPr>
    </w:p>
    <w:p w:rsidR="00934564" w:rsidRDefault="00AF0F58" w:rsidP="00FD6A83">
      <w:pPr>
        <w:pStyle w:val="ad"/>
        <w:numPr>
          <w:ilvl w:val="0"/>
          <w:numId w:val="1"/>
        </w:numPr>
        <w:spacing w:line="360" w:lineRule="auto"/>
        <w:jc w:val="both"/>
        <w:rPr>
          <w:rFonts w:ascii="Arial" w:hAnsi="Arial"/>
          <w:noProof w:val="0"/>
        </w:rPr>
      </w:pPr>
      <w:r w:rsidRPr="00C04529">
        <w:rPr>
          <w:rFonts w:ascii="Arial" w:hAnsi="Arial" w:hint="cs"/>
          <w:noProof w:val="0"/>
          <w:rtl/>
        </w:rPr>
        <w:t>לעניין סיכויי הזכייה</w:t>
      </w:r>
      <w:r w:rsidR="00E971B7">
        <w:rPr>
          <w:rFonts w:ascii="Arial" w:hAnsi="Arial" w:hint="cs"/>
          <w:noProof w:val="0"/>
          <w:rtl/>
        </w:rPr>
        <w:t>,</w:t>
      </w:r>
      <w:r w:rsidRPr="00C04529">
        <w:rPr>
          <w:rFonts w:ascii="Arial" w:hAnsi="Arial" w:hint="cs"/>
          <w:noProof w:val="0"/>
          <w:rtl/>
        </w:rPr>
        <w:t xml:space="preserve"> שני הצדדים טענו בהרחבה בעניין זה</w:t>
      </w:r>
      <w:r w:rsidR="00AE2DA5">
        <w:rPr>
          <w:rFonts w:ascii="Arial" w:hAnsi="Arial" w:hint="cs"/>
          <w:noProof w:val="0"/>
          <w:rtl/>
        </w:rPr>
        <w:t>. הצדדים הפנו בין היתר</w:t>
      </w:r>
      <w:r w:rsidR="0077769E" w:rsidRPr="00C04529">
        <w:rPr>
          <w:rFonts w:ascii="Arial" w:hAnsi="Arial" w:hint="cs"/>
          <w:noProof w:val="0"/>
          <w:rtl/>
        </w:rPr>
        <w:t xml:space="preserve"> ל</w:t>
      </w:r>
      <w:r w:rsidR="00C04529" w:rsidRPr="00C04529">
        <w:rPr>
          <w:rFonts w:ascii="Arial" w:hAnsi="Arial" w:hint="cs"/>
          <w:noProof w:val="0"/>
          <w:rtl/>
        </w:rPr>
        <w:t xml:space="preserve">הסכם </w:t>
      </w:r>
      <w:r w:rsidR="00E971B7">
        <w:rPr>
          <w:rFonts w:ascii="Arial" w:hAnsi="Arial" w:hint="cs"/>
          <w:noProof w:val="0"/>
          <w:rtl/>
        </w:rPr>
        <w:t>ביניהם</w:t>
      </w:r>
      <w:r w:rsidR="00C04529" w:rsidRPr="00C04529">
        <w:rPr>
          <w:rFonts w:ascii="Arial" w:hAnsi="Arial" w:hint="cs"/>
          <w:noProof w:val="0"/>
          <w:rtl/>
        </w:rPr>
        <w:t xml:space="preserve"> </w:t>
      </w:r>
      <w:r w:rsidR="00C04529">
        <w:rPr>
          <w:rFonts w:ascii="Arial" w:hAnsi="Arial" w:hint="cs"/>
          <w:noProof w:val="0"/>
          <w:rtl/>
        </w:rPr>
        <w:t>ו</w:t>
      </w:r>
      <w:r w:rsidR="00AE2DA5">
        <w:rPr>
          <w:rFonts w:ascii="Arial" w:hAnsi="Arial" w:hint="cs"/>
          <w:noProof w:val="0"/>
          <w:rtl/>
        </w:rPr>
        <w:t xml:space="preserve">טענו בדבר </w:t>
      </w:r>
      <w:r w:rsidR="00FD6A83">
        <w:rPr>
          <w:rFonts w:ascii="Arial" w:hAnsi="Arial" w:hint="cs"/>
          <w:noProof w:val="0"/>
          <w:rtl/>
        </w:rPr>
        <w:t>תחולתן</w:t>
      </w:r>
      <w:r w:rsidR="00AE2DA5">
        <w:rPr>
          <w:rFonts w:ascii="Arial" w:hAnsi="Arial" w:hint="cs"/>
          <w:noProof w:val="0"/>
          <w:rtl/>
        </w:rPr>
        <w:t xml:space="preserve"> של תני</w:t>
      </w:r>
      <w:r w:rsidR="00FD6A83">
        <w:rPr>
          <w:rFonts w:ascii="Arial" w:hAnsi="Arial" w:hint="cs"/>
          <w:noProof w:val="0"/>
          <w:rtl/>
        </w:rPr>
        <w:t>ו</w:t>
      </w:r>
      <w:r w:rsidR="00AE2DA5">
        <w:rPr>
          <w:rFonts w:ascii="Arial" w:hAnsi="Arial" w:hint="cs"/>
          <w:noProof w:val="0"/>
          <w:rtl/>
        </w:rPr>
        <w:t xml:space="preserve">ת הבוררות. הם הפנו </w:t>
      </w:r>
      <w:r w:rsidR="00C04529" w:rsidRPr="00C04529">
        <w:rPr>
          <w:rFonts w:ascii="Arial" w:hAnsi="Arial" w:hint="cs"/>
          <w:noProof w:val="0"/>
          <w:rtl/>
        </w:rPr>
        <w:t>להוראות חוק הבוררות</w:t>
      </w:r>
      <w:r w:rsidR="00C04529">
        <w:rPr>
          <w:rFonts w:ascii="Arial" w:hAnsi="Arial" w:hint="cs"/>
          <w:noProof w:val="0"/>
          <w:rtl/>
        </w:rPr>
        <w:t xml:space="preserve"> לרב</w:t>
      </w:r>
      <w:r w:rsidR="00CE5565">
        <w:rPr>
          <w:rFonts w:ascii="Arial" w:hAnsi="Arial" w:hint="cs"/>
          <w:noProof w:val="0"/>
          <w:rtl/>
        </w:rPr>
        <w:t>ו</w:t>
      </w:r>
      <w:r w:rsidR="00C04529">
        <w:rPr>
          <w:rFonts w:ascii="Arial" w:hAnsi="Arial" w:hint="cs"/>
          <w:noProof w:val="0"/>
          <w:rtl/>
        </w:rPr>
        <w:t xml:space="preserve">ת לאמנת ניו יורק. </w:t>
      </w:r>
      <w:r w:rsidR="00AE2DA5">
        <w:rPr>
          <w:rFonts w:ascii="Arial" w:hAnsi="Arial" w:hint="cs"/>
          <w:noProof w:val="0"/>
          <w:rtl/>
        </w:rPr>
        <w:t xml:space="preserve">עניינים אלה מצריכים עיון. </w:t>
      </w:r>
      <w:r w:rsidR="00013425" w:rsidRPr="00C04529">
        <w:rPr>
          <w:rFonts w:ascii="Arial" w:hAnsi="Arial" w:hint="cs"/>
          <w:noProof w:val="0"/>
          <w:rtl/>
        </w:rPr>
        <w:t>בנסיבות אלה</w:t>
      </w:r>
      <w:r w:rsidR="004E4E18" w:rsidRPr="00C04529">
        <w:rPr>
          <w:rFonts w:ascii="Arial" w:hAnsi="Arial" w:hint="cs"/>
          <w:noProof w:val="0"/>
          <w:rtl/>
        </w:rPr>
        <w:t>,</w:t>
      </w:r>
      <w:r w:rsidR="00013425" w:rsidRPr="00C04529">
        <w:rPr>
          <w:rFonts w:ascii="Arial" w:hAnsi="Arial" w:hint="cs"/>
          <w:noProof w:val="0"/>
          <w:rtl/>
        </w:rPr>
        <w:t xml:space="preserve"> לא מצאתי לקבוע מסמרות </w:t>
      </w:r>
      <w:r w:rsidR="004E4E18" w:rsidRPr="00C04529">
        <w:rPr>
          <w:rFonts w:ascii="Arial" w:hAnsi="Arial" w:hint="cs"/>
          <w:noProof w:val="0"/>
          <w:rtl/>
        </w:rPr>
        <w:t xml:space="preserve">באשר לסיכויי ההליך </w:t>
      </w:r>
      <w:r w:rsidR="00AE2DA5">
        <w:rPr>
          <w:rFonts w:ascii="Arial" w:hAnsi="Arial" w:hint="cs"/>
          <w:noProof w:val="0"/>
          <w:rtl/>
        </w:rPr>
        <w:t xml:space="preserve">ונכון שטענות אלה </w:t>
      </w:r>
      <w:r w:rsidR="00013425" w:rsidRPr="00C04529">
        <w:rPr>
          <w:rFonts w:ascii="Arial" w:hAnsi="Arial" w:hint="cs"/>
          <w:noProof w:val="0"/>
          <w:rtl/>
        </w:rPr>
        <w:t>יי</w:t>
      </w:r>
      <w:r w:rsidR="004E4E18" w:rsidRPr="00C04529">
        <w:rPr>
          <w:rFonts w:ascii="Arial" w:hAnsi="Arial" w:hint="cs"/>
          <w:noProof w:val="0"/>
          <w:rtl/>
        </w:rPr>
        <w:t xml:space="preserve">בחנו בבוא העת על ידי המותב שידון </w:t>
      </w:r>
      <w:r w:rsidR="00013425" w:rsidRPr="00C04529">
        <w:rPr>
          <w:rFonts w:ascii="Arial" w:hAnsi="Arial" w:hint="cs"/>
          <w:noProof w:val="0"/>
          <w:rtl/>
        </w:rPr>
        <w:t>בבקשת רשות הערעור.</w:t>
      </w:r>
    </w:p>
    <w:p w:rsidR="00934564" w:rsidRPr="00934564" w:rsidRDefault="00934564" w:rsidP="00934564">
      <w:pPr>
        <w:pStyle w:val="ad"/>
        <w:rPr>
          <w:rFonts w:ascii="Arial" w:hAnsi="Arial"/>
          <w:noProof w:val="0"/>
          <w:rtl/>
        </w:rPr>
      </w:pPr>
    </w:p>
    <w:p w:rsidR="00C737A3" w:rsidRDefault="00934564" w:rsidP="00AE2DA5">
      <w:pPr>
        <w:pStyle w:val="ad"/>
        <w:numPr>
          <w:ilvl w:val="0"/>
          <w:numId w:val="1"/>
        </w:numPr>
        <w:spacing w:line="360" w:lineRule="auto"/>
        <w:jc w:val="both"/>
        <w:rPr>
          <w:rFonts w:ascii="Arial" w:hAnsi="Arial"/>
          <w:noProof w:val="0"/>
        </w:rPr>
      </w:pPr>
      <w:r w:rsidRPr="00811CED">
        <w:rPr>
          <w:rFonts w:ascii="Arial" w:hAnsi="Arial" w:hint="cs"/>
          <w:noProof w:val="0"/>
          <w:rtl/>
        </w:rPr>
        <w:t>לסיכום, מאחר שהערעור המקורי הוגש במועד, נוכח בקשתה החלופית של המבקשת כפי שהועלתה בסעיף 13 לנימוקיה,</w:t>
      </w:r>
      <w:r w:rsidR="00CE5565" w:rsidRPr="00811CED">
        <w:rPr>
          <w:rFonts w:ascii="Arial" w:hAnsi="Arial" w:hint="cs"/>
          <w:noProof w:val="0"/>
          <w:rtl/>
        </w:rPr>
        <w:t xml:space="preserve"> </w:t>
      </w:r>
      <w:r w:rsidR="00811CED" w:rsidRPr="00811CED">
        <w:rPr>
          <w:rFonts w:ascii="Arial" w:hAnsi="Arial" w:hint="cs"/>
          <w:noProof w:val="0"/>
          <w:rtl/>
        </w:rPr>
        <w:t>מאחר ש</w:t>
      </w:r>
      <w:r w:rsidR="00CE5565" w:rsidRPr="00811CED">
        <w:rPr>
          <w:rFonts w:ascii="Arial" w:hAnsi="Arial" w:hint="cs"/>
          <w:noProof w:val="0"/>
          <w:rtl/>
        </w:rPr>
        <w:t>כתב הערעור כלל את מלוא טענות ה</w:t>
      </w:r>
      <w:r w:rsidR="00811CED" w:rsidRPr="00811CED">
        <w:rPr>
          <w:rFonts w:ascii="Arial" w:hAnsi="Arial" w:hint="cs"/>
          <w:noProof w:val="0"/>
          <w:rtl/>
        </w:rPr>
        <w:t>מבקשת כך שהטעות התייחסה רק לסיווג ההליך,</w:t>
      </w:r>
      <w:r w:rsidR="00811CED">
        <w:rPr>
          <w:rFonts w:ascii="Arial" w:hAnsi="Arial" w:hint="cs"/>
          <w:noProof w:val="0"/>
          <w:rtl/>
        </w:rPr>
        <w:t xml:space="preserve"> </w:t>
      </w:r>
      <w:r w:rsidR="00C737A3">
        <w:rPr>
          <w:rFonts w:ascii="Arial" w:hAnsi="Arial" w:hint="cs"/>
          <w:noProof w:val="0"/>
          <w:rtl/>
        </w:rPr>
        <w:t xml:space="preserve"> לאור המשקל הנמוך שיש לתת להסתמכות המשיב</w:t>
      </w:r>
      <w:r w:rsidR="00F43912">
        <w:rPr>
          <w:rFonts w:ascii="Arial" w:hAnsi="Arial" w:hint="cs"/>
          <w:noProof w:val="0"/>
          <w:rtl/>
        </w:rPr>
        <w:t>ה בדבר סיום ההליכים והציפייה כי</w:t>
      </w:r>
      <w:r w:rsidR="00C737A3">
        <w:rPr>
          <w:rFonts w:ascii="Arial" w:hAnsi="Arial" w:hint="cs"/>
          <w:noProof w:val="0"/>
          <w:rtl/>
        </w:rPr>
        <w:t xml:space="preserve"> המבקשת תעמוד על טענותיה במסגרת הגשת בקשת רשות ערעור, </w:t>
      </w:r>
      <w:r w:rsidR="00AE2DA5">
        <w:rPr>
          <w:rFonts w:ascii="Arial" w:hAnsi="Arial" w:hint="cs"/>
          <w:noProof w:val="0"/>
          <w:rtl/>
        </w:rPr>
        <w:t>מאחר</w:t>
      </w:r>
      <w:r w:rsidR="00C737A3">
        <w:rPr>
          <w:rFonts w:ascii="Arial" w:hAnsi="Arial" w:hint="cs"/>
          <w:noProof w:val="0"/>
          <w:rtl/>
        </w:rPr>
        <w:t xml:space="preserve"> שטענותיה של המבקשת טרם נדונו לגופו של עניין</w:t>
      </w:r>
      <w:r w:rsidR="004E4E18" w:rsidRPr="00811CED">
        <w:rPr>
          <w:rFonts w:ascii="Arial" w:hAnsi="Arial" w:hint="cs"/>
          <w:noProof w:val="0"/>
          <w:rtl/>
        </w:rPr>
        <w:t>,</w:t>
      </w:r>
      <w:r w:rsidR="00C737A3">
        <w:rPr>
          <w:rFonts w:ascii="Arial" w:hAnsi="Arial" w:hint="cs"/>
          <w:noProof w:val="0"/>
          <w:rtl/>
        </w:rPr>
        <w:t xml:space="preserve"> לאור פסקי הדין שהובאו לעיל בדבר מתן ארכה גם בנסיבות של טעות בדין ב</w:t>
      </w:r>
      <w:r w:rsidR="00503EDF">
        <w:rPr>
          <w:rFonts w:ascii="Arial" w:hAnsi="Arial" w:hint="cs"/>
          <w:noProof w:val="0"/>
          <w:rtl/>
        </w:rPr>
        <w:t xml:space="preserve">התחשב </w:t>
      </w:r>
      <w:r w:rsidR="00C737A3">
        <w:rPr>
          <w:rFonts w:ascii="Arial" w:hAnsi="Arial" w:hint="cs"/>
          <w:noProof w:val="0"/>
          <w:rtl/>
        </w:rPr>
        <w:t xml:space="preserve">במטרת התקנות וזכות </w:t>
      </w:r>
      <w:r w:rsidR="00C737A3">
        <w:rPr>
          <w:rFonts w:ascii="Arial" w:hAnsi="Arial" w:hint="cs"/>
          <w:noProof w:val="0"/>
          <w:rtl/>
        </w:rPr>
        <w:lastRenderedPageBreak/>
        <w:t>הגישה לערכאות</w:t>
      </w:r>
      <w:r w:rsidR="00F43912">
        <w:rPr>
          <w:rFonts w:ascii="Arial" w:hAnsi="Arial" w:hint="cs"/>
          <w:noProof w:val="0"/>
          <w:rtl/>
        </w:rPr>
        <w:t>, נחה ד</w:t>
      </w:r>
      <w:r w:rsidR="00C737A3">
        <w:rPr>
          <w:rFonts w:ascii="Arial" w:hAnsi="Arial" w:hint="cs"/>
          <w:noProof w:val="0"/>
          <w:rtl/>
        </w:rPr>
        <w:t>עתי כי האיזון הראוי במקרה דנן הוא ליתן למבקשת ארכה להגשת בקשת ר</w:t>
      </w:r>
      <w:r w:rsidR="00503EDF">
        <w:rPr>
          <w:rFonts w:ascii="Arial" w:hAnsi="Arial" w:hint="cs"/>
          <w:noProof w:val="0"/>
          <w:rtl/>
        </w:rPr>
        <w:t>שו</w:t>
      </w:r>
      <w:r w:rsidR="00C737A3">
        <w:rPr>
          <w:rFonts w:ascii="Arial" w:hAnsi="Arial" w:hint="cs"/>
          <w:noProof w:val="0"/>
          <w:rtl/>
        </w:rPr>
        <w:t>ת הערעור.</w:t>
      </w:r>
      <w:r w:rsidR="00503EDF">
        <w:rPr>
          <w:rFonts w:ascii="Arial" w:hAnsi="Arial" w:hint="cs"/>
          <w:noProof w:val="0"/>
          <w:rtl/>
        </w:rPr>
        <w:t xml:space="preserve"> בקשת רשות הערעור תוגש בתוך 7 ימים. </w:t>
      </w:r>
    </w:p>
    <w:p w:rsidR="00C737A3" w:rsidRPr="00C737A3" w:rsidRDefault="00C737A3" w:rsidP="00C737A3">
      <w:pPr>
        <w:pStyle w:val="ad"/>
        <w:rPr>
          <w:rFonts w:ascii="Arial" w:hAnsi="Arial"/>
          <w:noProof w:val="0"/>
          <w:rtl/>
        </w:rPr>
      </w:pPr>
    </w:p>
    <w:p w:rsidR="00503EDF" w:rsidRDefault="00C737A3" w:rsidP="00AE2DA5">
      <w:pPr>
        <w:pStyle w:val="ad"/>
        <w:numPr>
          <w:ilvl w:val="0"/>
          <w:numId w:val="1"/>
        </w:numPr>
        <w:spacing w:line="360" w:lineRule="auto"/>
        <w:jc w:val="both"/>
        <w:rPr>
          <w:rFonts w:ascii="Arial" w:hAnsi="Arial"/>
          <w:noProof w:val="0"/>
        </w:rPr>
      </w:pPr>
      <w:r>
        <w:rPr>
          <w:rFonts w:ascii="Arial" w:hAnsi="Arial" w:hint="cs"/>
          <w:noProof w:val="0"/>
          <w:rtl/>
        </w:rPr>
        <w:t>עם זאת</w:t>
      </w:r>
      <w:r w:rsidR="00F43912">
        <w:rPr>
          <w:rFonts w:ascii="Arial" w:hAnsi="Arial" w:hint="cs"/>
          <w:noProof w:val="0"/>
          <w:rtl/>
        </w:rPr>
        <w:t>,</w:t>
      </w:r>
      <w:r w:rsidR="00AE2DA5">
        <w:rPr>
          <w:rFonts w:ascii="Arial" w:hAnsi="Arial" w:hint="cs"/>
          <w:noProof w:val="0"/>
          <w:rtl/>
        </w:rPr>
        <w:t xml:space="preserve"> נוכח הטע</w:t>
      </w:r>
      <w:r>
        <w:rPr>
          <w:rFonts w:ascii="Arial" w:hAnsi="Arial" w:hint="cs"/>
          <w:noProof w:val="0"/>
          <w:rtl/>
        </w:rPr>
        <w:t>ות של המבקשת אשר הובילה להתדיינות נוספת אשר גרמה לטרדה והוצאות</w:t>
      </w:r>
      <w:r w:rsidR="00F43912">
        <w:rPr>
          <w:rFonts w:ascii="Arial" w:hAnsi="Arial" w:hint="cs"/>
          <w:noProof w:val="0"/>
          <w:rtl/>
        </w:rPr>
        <w:t>,</w:t>
      </w:r>
      <w:r>
        <w:rPr>
          <w:rFonts w:ascii="Arial" w:hAnsi="Arial" w:hint="cs"/>
          <w:noProof w:val="0"/>
          <w:rtl/>
        </w:rPr>
        <w:t xml:space="preserve"> יש מקום לחייבה בהוצאות מתאימות. בעניין </w:t>
      </w:r>
      <w:r w:rsidR="00F43912">
        <w:rPr>
          <w:rFonts w:ascii="Arial" w:hAnsi="Arial" w:hint="cs"/>
          <w:noProof w:val="0"/>
          <w:rtl/>
        </w:rPr>
        <w:t xml:space="preserve">זה </w:t>
      </w:r>
      <w:r>
        <w:rPr>
          <w:rFonts w:ascii="Arial" w:hAnsi="Arial" w:hint="cs"/>
          <w:noProof w:val="0"/>
          <w:rtl/>
        </w:rPr>
        <w:t>יש ל</w:t>
      </w:r>
      <w:r w:rsidR="00503EDF">
        <w:rPr>
          <w:rFonts w:ascii="Arial" w:hAnsi="Arial" w:hint="cs"/>
          <w:noProof w:val="0"/>
          <w:rtl/>
        </w:rPr>
        <w:t>התחשב בכך</w:t>
      </w:r>
      <w:r>
        <w:rPr>
          <w:rFonts w:ascii="Arial" w:hAnsi="Arial" w:hint="cs"/>
          <w:noProof w:val="0"/>
          <w:rtl/>
        </w:rPr>
        <w:t xml:space="preserve"> שטרם התקיים דיון לגופו של ענין בטענות הצדדים</w:t>
      </w:r>
      <w:r w:rsidR="00AE2DA5">
        <w:rPr>
          <w:rFonts w:ascii="Arial" w:hAnsi="Arial" w:hint="cs"/>
          <w:noProof w:val="0"/>
          <w:rtl/>
        </w:rPr>
        <w:t xml:space="preserve">. </w:t>
      </w:r>
      <w:r>
        <w:rPr>
          <w:rFonts w:ascii="Arial" w:hAnsi="Arial" w:hint="cs"/>
          <w:noProof w:val="0"/>
          <w:rtl/>
        </w:rPr>
        <w:t xml:space="preserve">לאחר ששקלתי את </w:t>
      </w:r>
      <w:r w:rsidR="00F43912">
        <w:rPr>
          <w:rFonts w:ascii="Arial" w:hAnsi="Arial" w:hint="cs"/>
          <w:noProof w:val="0"/>
          <w:rtl/>
        </w:rPr>
        <w:t>האמור לעיל,</w:t>
      </w:r>
      <w:r w:rsidR="00503EDF">
        <w:rPr>
          <w:rFonts w:ascii="Arial" w:hAnsi="Arial" w:hint="cs"/>
          <w:noProof w:val="0"/>
          <w:rtl/>
        </w:rPr>
        <w:t xml:space="preserve"> אני מחייב את המבקשת לשלם למשיבה הוצאות בסך </w:t>
      </w:r>
      <w:r w:rsidR="00AE2DA5">
        <w:rPr>
          <w:rFonts w:ascii="Arial" w:hAnsi="Arial" w:hint="cs"/>
          <w:noProof w:val="0"/>
          <w:rtl/>
        </w:rPr>
        <w:t>של 6,000</w:t>
      </w:r>
      <w:r w:rsidR="00503EDF">
        <w:rPr>
          <w:rFonts w:ascii="Arial" w:hAnsi="Arial" w:hint="cs"/>
          <w:noProof w:val="0"/>
          <w:rtl/>
        </w:rPr>
        <w:t xml:space="preserve"> ₪. הסכום ישולם בתוך 30 ימים.</w:t>
      </w:r>
    </w:p>
    <w:p w:rsidR="00503EDF" w:rsidRPr="00503EDF" w:rsidRDefault="00503EDF" w:rsidP="00503EDF">
      <w:pPr>
        <w:pStyle w:val="ad"/>
        <w:rPr>
          <w:rFonts w:ascii="Arial" w:hAnsi="Arial"/>
          <w:noProof w:val="0"/>
          <w:rtl/>
        </w:rPr>
      </w:pPr>
    </w:p>
    <w:p w:rsidR="005446EF" w:rsidRPr="005446EF" w:rsidRDefault="00C737A3" w:rsidP="00503EDF">
      <w:pPr>
        <w:pStyle w:val="ad"/>
        <w:numPr>
          <w:ilvl w:val="0"/>
          <w:numId w:val="1"/>
        </w:numPr>
        <w:spacing w:line="360" w:lineRule="auto"/>
        <w:jc w:val="both"/>
        <w:rPr>
          <w:rFonts w:ascii="Arial" w:hAnsi="Arial"/>
          <w:noProof w:val="0"/>
          <w:rtl/>
        </w:rPr>
      </w:pPr>
      <w:r>
        <w:rPr>
          <w:rFonts w:ascii="Arial" w:hAnsi="Arial" w:hint="cs"/>
          <w:noProof w:val="0"/>
          <w:rtl/>
        </w:rPr>
        <w:t xml:space="preserve"> </w:t>
      </w:r>
      <w:r w:rsidR="005446EF">
        <w:rPr>
          <w:rFonts w:ascii="Arial" w:hAnsi="Arial" w:hint="cs"/>
          <w:noProof w:val="0"/>
          <w:rtl/>
        </w:rPr>
        <w:t>החלטתי ניתנת בתוקף תפקידי כרשם.</w:t>
      </w:r>
    </w:p>
    <w:p w:rsidR="00F01F97" w:rsidRDefault="00F01F97">
      <w:pPr>
        <w:spacing w:line="360" w:lineRule="auto"/>
        <w:jc w:val="both"/>
        <w:rPr>
          <w:rFonts w:ascii="Arial" w:hAnsi="Arial"/>
          <w:noProof w:val="0"/>
          <w:rtl/>
        </w:rPr>
      </w:pPr>
    </w:p>
    <w:p w:rsidR="00694556" w:rsidRPr="00503EDF" w:rsidRDefault="00503EDF" w:rsidP="00503EDF">
      <w:pPr>
        <w:spacing w:line="360" w:lineRule="auto"/>
        <w:ind w:left="360"/>
        <w:jc w:val="both"/>
        <w:rPr>
          <w:rFonts w:ascii="Arial" w:hAnsi="Arial"/>
          <w:b/>
          <w:bCs/>
          <w:noProof w:val="0"/>
          <w:rtl/>
        </w:rPr>
      </w:pPr>
      <w:r w:rsidRPr="00503EDF">
        <w:rPr>
          <w:rFonts w:ascii="Arial" w:hAnsi="Arial" w:hint="cs"/>
          <w:b/>
          <w:bCs/>
          <w:noProof w:val="0"/>
          <w:rtl/>
        </w:rPr>
        <w:t xml:space="preserve">המזכירות תשלח החלטתי לצדדים. </w:t>
      </w:r>
    </w:p>
    <w:p w:rsidR="00694556" w:rsidRDefault="00694556">
      <w:pPr>
        <w:spacing w:line="360" w:lineRule="auto"/>
        <w:jc w:val="both"/>
        <w:rPr>
          <w:rFonts w:ascii="Arial" w:hAnsi="Arial"/>
          <w:noProof w:val="0"/>
          <w:rtl/>
        </w:rPr>
      </w:pPr>
    </w:p>
    <w:p w:rsidR="00694556" w:rsidRDefault="0043502B" w:rsidP="00503ED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ד'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אוקטובר 2023</w:t>
          </w:r>
        </w:sdtContent>
      </w:sdt>
      <w:r w:rsidR="00005C8B">
        <w:rPr>
          <w:rFonts w:ascii="Arial" w:hAnsi="Arial"/>
          <w:noProof w:val="0"/>
          <w:rtl/>
        </w:rPr>
        <w:t>, בהעדר הצדדים.</w:t>
      </w:r>
    </w:p>
    <w:p w:rsidR="00C43648" w:rsidRDefault="00D7538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21859714"/>
        </w:sdtPr>
        <w:sdtEndPr/>
        <w:sdtContent>
          <w:r w:rsidR="00591061">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even" r:id="rId17"/>
      <w:headerReference w:type="default" r:id="rId18"/>
      <w:footerReference w:type="even" r:id="rId19"/>
      <w:footerReference w:type="default" r:id="rId20"/>
      <w:headerReference w:type="first" r:id="rId21"/>
      <w:footerReference w:type="first" r:id="rId2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389" w:rsidRDefault="00D75389">
      <w:r>
        <w:separator/>
      </w:r>
    </w:p>
  </w:endnote>
  <w:endnote w:type="continuationSeparator" w:id="0">
    <w:p w:rsidR="00D75389" w:rsidRDefault="00D75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121" w:rsidRDefault="006B01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B012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B0121">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121" w:rsidRDefault="006B012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389" w:rsidRDefault="00D75389">
      <w:r>
        <w:separator/>
      </w:r>
    </w:p>
  </w:footnote>
  <w:footnote w:type="continuationSeparator" w:id="0">
    <w:p w:rsidR="00D75389" w:rsidRDefault="00D75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121" w:rsidRDefault="006B01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4"/>
      <w:gridCol w:w="3483"/>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rFonts w:hint="cs"/>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D75389" w:rsidP="00FD6A8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רע"א</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F5DB6">
                <w:rPr>
                  <w:b/>
                  <w:bCs/>
                  <w:noProof w:val="0"/>
                  <w:sz w:val="26"/>
                  <w:szCs w:val="26"/>
                  <w:rtl/>
                </w:rPr>
                <w:t>58064-06-23</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אספן שווק בע"מ נ' DERMAESTHETICS BEVERLY HILLS FORMULA USA, INC</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121" w:rsidRDefault="006B01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72C41"/>
    <w:multiLevelType w:val="hybridMultilevel"/>
    <w:tmpl w:val="D862D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105180"/>
    <w:multiLevelType w:val="hybridMultilevel"/>
    <w:tmpl w:val="72B62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063B19"/>
    <w:multiLevelType w:val="hybridMultilevel"/>
    <w:tmpl w:val="83DCF160"/>
    <w:lvl w:ilvl="0" w:tplc="8DDEF12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718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71829&amp;lt;/CaseID&amp;gt;_x000d__x000a_        &amp;lt;CaseMonth&amp;gt;6&amp;lt;/CaseMonth&amp;gt;_x000d__x000a_        &amp;lt;CaseYear&amp;gt;2023&amp;lt;/CaseYear&amp;gt;_x000d__x000a_        &amp;lt;CaseNumber&amp;gt;58064&amp;lt;/CaseNumber&amp;gt;_x000d__x000a_        &amp;lt;NumeratorGroupID&amp;gt;1&amp;lt;/NumeratorGroupID&amp;gt;_x000d__x000a_        &amp;lt;CaseName&amp;gt;אספן שווק בע&amp;quot;מ נ&amp;#39; DERMAESTHETICS BEVERLY LHILLS FORMULA USA, INC&amp;lt;/CaseName&amp;gt;_x000d__x000a_        &amp;lt;CourtID&amp;gt;15&amp;lt;/CourtID&amp;gt;_x000d__x000a_        &amp;lt;CaseTypeID&amp;gt;78&amp;lt;/CaseTypeID&amp;gt;_x000d__x000a_        &amp;lt;CaseInterestID&amp;gt;99&amp;lt;/CaseInterestID&amp;gt;_x000d__x000a_        &amp;lt;CaseJudgeName&amp;gt;אילן דפד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58064-06-23&amp;lt;/CaseDisplayIdentifier&amp;gt;_x000d__x000a_        &amp;lt;CaseTypeDesc&amp;gt;ר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3-06-25T09:51:00+03:00&amp;lt;/CaseOpenDate&amp;gt;_x000d__x000a_        &amp;lt;PleaTypeID&amp;gt;5&amp;lt;/PleaTypeID&amp;gt;_x000d__x000a_        &amp;lt;CourtLevelID&amp;gt;2&amp;lt;/CourtLevelID&amp;gt;_x000d__x000a_        &amp;lt;CourtLevelCaseTypeInterestID&amp;gt;415&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71829&amp;lt;/CaseID&amp;gt;_x000d__x000a_        &amp;lt;CaseMonth&amp;gt;6&amp;lt;/CaseMonth&amp;gt;_x000d__x000a_        &amp;lt;CaseYear&amp;gt;2023&amp;lt;/CaseYear&amp;gt;_x000d__x000a_        &amp;lt;CaseNumber&amp;gt;58064&amp;lt;/CaseNumber&amp;gt;_x000d__x000a_        &amp;lt;NumeratorGroupID&amp;gt;1&amp;lt;/NumeratorGroupID&amp;gt;_x000d__x000a_        &amp;lt;CaseName&amp;gt;אספן שווק בע&amp;quot;מ נ&amp;#39; DERMAESTHETICS BEVERLY LHILLS FORMULA USA, INC&amp;lt;/CaseName&amp;gt;_x000d__x000a_        &amp;lt;CourtID&amp;gt;15&amp;lt;/CourtID&amp;gt;_x000d__x000a_        &amp;lt;CaseTypeID&amp;gt;78&amp;lt;/CaseTypeID&amp;gt;_x000d__x000a_        &amp;lt;CaseInterestID&amp;gt;99&amp;lt;/CaseInterestID&amp;gt;_x000d__x000a_        &amp;lt;CaseJudgeName&amp;gt;אילן דפד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58064-06-23&amp;lt;/CaseDisplayIdentifier&amp;gt;_x000d__x000a_        &amp;lt;CaseTypeDesc&amp;gt;רע&amp;quot;א&amp;lt;/CaseTypeDesc&amp;gt;_x000d__x000a_        &amp;lt;CourtDesc&amp;gt;המחוזי תל אביב - יפו&amp;lt;/CourtDesc&amp;gt;_x000d__x000a_        &amp;lt;CaseStageDesc&amp;gt;תיק אלקטרוני&amp;lt;/CaseStageDesc&amp;gt;_x000d__x000a_        &amp;lt;CaseNextDeterminingTask&amp;gt;157&amp;lt;/CaseNextDeterminingTask&amp;gt;_x000d__x000a_        &amp;lt;CaseOpenDate&amp;gt;2023-06-25T09:51:00+03:00&amp;lt;/CaseOpenDate&amp;gt;_x000d__x000a_        &amp;lt;PleaTypeID&amp;gt;5&amp;lt;/PleaTypeID&amp;gt;_x000d__x000a_        &amp;lt;CourtLevelID&amp;gt;2&amp;lt;/CourtLevelID&amp;gt;_x000d__x000a_        &amp;lt;CourtLevelCaseTypeInterestID&amp;gt;415&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39109&amp;lt;/DecisionID&amp;gt;_x000d__x000a_        &amp;lt;DecisionName&amp;gt;החלטה  שניתנה ע&amp;quot;י  אילן דפדי&amp;lt;/DecisionName&amp;gt;_x000d__x000a_        &amp;lt;DecisionStatusID&amp;gt;1&amp;lt;/DecisionStatusID&amp;gt;_x000d__x000a_        &amp;lt;DecisionStatusChangeDate&amp;gt;2023-10-18T16:38:19.973+03:00&amp;lt;/DecisionStatusChangeDate&amp;gt;_x000d__x000a_        &amp;lt;DecisionSignatureDate&amp;gt;2023-10-18T16:38:34.577+03:00&amp;lt;/DecisionSignatureDate&amp;gt;_x000d__x000a_        &amp;lt;DecisionSignatureUserID&amp;gt;058276254@GOV.IL&amp;lt;/DecisionSignatureUserID&amp;gt;_x000d__x000a_        &amp;lt;DecisionCreateDate&amp;gt;2023-10-15T10:00:05.103+03:00&amp;lt;/DecisionCreateDate&amp;gt;_x000d__x000a_        &amp;lt;DecisionChangeDate&amp;gt;2023-10-18T16:38:20.143+03:00&amp;lt;/DecisionChangeDate&amp;gt;_x000d__x000a_        &amp;lt;DecisionChangeUserID&amp;gt;03294530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351600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276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276254@GOV.IL&amp;lt;/DecisionCreationUserID&amp;gt;_x000d__x000a_        &amp;lt;DecisionDisplayName&amp;gt;החלטה  שניתנה ע&amp;quot;י  אילן דפדי&amp;lt;/DecisionDisplayName&amp;gt;_x000d__x000a_        &amp;lt;IsScanned&amp;gt;false&amp;lt;/IsScanned&amp;gt;_x000d__x000a_        &amp;lt;DecisionSignatureUserName&amp;gt;אילן דפד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7539109&amp;lt;/DecisionID&amp;gt;_x000d__x000a_        &amp;lt;CaseID&amp;gt;80371829&amp;lt;/CaseID&amp;gt;_x000d__x000a_        &amp;lt;IsOriginal&amp;gt;true&amp;lt;/IsOriginal&amp;gt;_x000d__x000a_        &amp;lt;IsDeleted&amp;gt;false&amp;lt;/IsDeleted&amp;gt;_x000d__x000a_        &amp;lt;CaseName&amp;gt;אספן שווק בע&amp;quot;מ נ&amp;#39; DERMAESTHETICS BEVERLY LHILLS FORMULA USA, INC&amp;lt;/CaseName&amp;gt;_x000d__x000a_        &amp;lt;CaseDisplayIdentifier&amp;gt;58064-06-23 רע&amp;quot;א&amp;lt;/CaseDisplayIdentifier&amp;gt;_x000d__x000a_      &amp;lt;/dt_DecisionCase&amp;gt;_x000d__x000a_    &amp;lt;/DecisionDS&amp;gt;_x000d__x000a_  &amp;lt;/diffgr:diffgram&amp;gt;_x000d__x000a_&amp;lt;/DecisionDS&amp;gt;"/>
    <w:docVar w:name="DecisionID" w:val="147539109"/>
    <w:docVar w:name="WordClientAssemblyName" w:val="NGCS.Decision.ClientWordBL"/>
    <w:docVar w:name="WordClientClassName" w:val="NGCS.Decision.ClientWordBL.DecisionClient"/>
  </w:docVars>
  <w:rsids>
    <w:rsidRoot w:val="00694556"/>
    <w:rsid w:val="00000062"/>
    <w:rsid w:val="0000226B"/>
    <w:rsid w:val="00005C8B"/>
    <w:rsid w:val="00013425"/>
    <w:rsid w:val="0004571E"/>
    <w:rsid w:val="00050E89"/>
    <w:rsid w:val="000529D2"/>
    <w:rsid w:val="000564AB"/>
    <w:rsid w:val="00064FBD"/>
    <w:rsid w:val="00082AB2"/>
    <w:rsid w:val="000906FE"/>
    <w:rsid w:val="00096AF7"/>
    <w:rsid w:val="000B344B"/>
    <w:rsid w:val="000B3EA2"/>
    <w:rsid w:val="000C3B0F"/>
    <w:rsid w:val="000C3B60"/>
    <w:rsid w:val="000D1B3F"/>
    <w:rsid w:val="000D2A48"/>
    <w:rsid w:val="000D394B"/>
    <w:rsid w:val="000E0DD2"/>
    <w:rsid w:val="000E3AF1"/>
    <w:rsid w:val="000F02EA"/>
    <w:rsid w:val="000F0BC8"/>
    <w:rsid w:val="000F0DD6"/>
    <w:rsid w:val="00107E6D"/>
    <w:rsid w:val="0011194C"/>
    <w:rsid w:val="0011424C"/>
    <w:rsid w:val="001173C6"/>
    <w:rsid w:val="00132B2A"/>
    <w:rsid w:val="001367BC"/>
    <w:rsid w:val="00143C2A"/>
    <w:rsid w:val="00144D2A"/>
    <w:rsid w:val="0014653E"/>
    <w:rsid w:val="00173AB4"/>
    <w:rsid w:val="00180519"/>
    <w:rsid w:val="00191C82"/>
    <w:rsid w:val="001B3868"/>
    <w:rsid w:val="001B48A4"/>
    <w:rsid w:val="001C3FD7"/>
    <w:rsid w:val="001C4003"/>
    <w:rsid w:val="001D3441"/>
    <w:rsid w:val="001D4DBF"/>
    <w:rsid w:val="001E75CA"/>
    <w:rsid w:val="001F5DB6"/>
    <w:rsid w:val="00204D8C"/>
    <w:rsid w:val="002265FF"/>
    <w:rsid w:val="0023131C"/>
    <w:rsid w:val="00271B56"/>
    <w:rsid w:val="00291593"/>
    <w:rsid w:val="002A2AF8"/>
    <w:rsid w:val="002C344E"/>
    <w:rsid w:val="002D04BE"/>
    <w:rsid w:val="002E75E9"/>
    <w:rsid w:val="002F54BC"/>
    <w:rsid w:val="00307A6A"/>
    <w:rsid w:val="00307C40"/>
    <w:rsid w:val="00311FEA"/>
    <w:rsid w:val="00320433"/>
    <w:rsid w:val="003230C7"/>
    <w:rsid w:val="00327E50"/>
    <w:rsid w:val="0033597A"/>
    <w:rsid w:val="00343D89"/>
    <w:rsid w:val="00362612"/>
    <w:rsid w:val="0036743F"/>
    <w:rsid w:val="003715DD"/>
    <w:rsid w:val="003763AB"/>
    <w:rsid w:val="003823E0"/>
    <w:rsid w:val="003A4521"/>
    <w:rsid w:val="003D1C8C"/>
    <w:rsid w:val="003F419C"/>
    <w:rsid w:val="0040096C"/>
    <w:rsid w:val="00414F1F"/>
    <w:rsid w:val="0043125D"/>
    <w:rsid w:val="0043502B"/>
    <w:rsid w:val="00443764"/>
    <w:rsid w:val="004443AC"/>
    <w:rsid w:val="00451E28"/>
    <w:rsid w:val="00453114"/>
    <w:rsid w:val="00462C62"/>
    <w:rsid w:val="00465D36"/>
    <w:rsid w:val="004705E6"/>
    <w:rsid w:val="004A1135"/>
    <w:rsid w:val="004B1CB4"/>
    <w:rsid w:val="004B5183"/>
    <w:rsid w:val="004C17EE"/>
    <w:rsid w:val="004C4BDF"/>
    <w:rsid w:val="004D1187"/>
    <w:rsid w:val="004D3AA0"/>
    <w:rsid w:val="004D678E"/>
    <w:rsid w:val="004E1987"/>
    <w:rsid w:val="004E2E15"/>
    <w:rsid w:val="004E4E18"/>
    <w:rsid w:val="004E6E3C"/>
    <w:rsid w:val="00503EDF"/>
    <w:rsid w:val="00520898"/>
    <w:rsid w:val="00523621"/>
    <w:rsid w:val="00524986"/>
    <w:rsid w:val="005268F6"/>
    <w:rsid w:val="00531BC8"/>
    <w:rsid w:val="00534284"/>
    <w:rsid w:val="005367B7"/>
    <w:rsid w:val="005446EF"/>
    <w:rsid w:val="0054494A"/>
    <w:rsid w:val="00547DB7"/>
    <w:rsid w:val="00565D4A"/>
    <w:rsid w:val="00571863"/>
    <w:rsid w:val="00590F6C"/>
    <w:rsid w:val="00591061"/>
    <w:rsid w:val="005B3709"/>
    <w:rsid w:val="005F4F09"/>
    <w:rsid w:val="005F504D"/>
    <w:rsid w:val="00606E21"/>
    <w:rsid w:val="0061431B"/>
    <w:rsid w:val="00617CEE"/>
    <w:rsid w:val="00622BAA"/>
    <w:rsid w:val="006306CF"/>
    <w:rsid w:val="00644E9A"/>
    <w:rsid w:val="00663992"/>
    <w:rsid w:val="00671BD5"/>
    <w:rsid w:val="006805C1"/>
    <w:rsid w:val="00684CCF"/>
    <w:rsid w:val="00686C21"/>
    <w:rsid w:val="006931C1"/>
    <w:rsid w:val="00694556"/>
    <w:rsid w:val="00694DDC"/>
    <w:rsid w:val="006956A0"/>
    <w:rsid w:val="006A0E3C"/>
    <w:rsid w:val="006B0121"/>
    <w:rsid w:val="006C0A76"/>
    <w:rsid w:val="006C1557"/>
    <w:rsid w:val="006C30C5"/>
    <w:rsid w:val="006D3B31"/>
    <w:rsid w:val="006E0D96"/>
    <w:rsid w:val="006E1A53"/>
    <w:rsid w:val="006E56D0"/>
    <w:rsid w:val="006F4DFE"/>
    <w:rsid w:val="006F56E6"/>
    <w:rsid w:val="00704EDA"/>
    <w:rsid w:val="00712224"/>
    <w:rsid w:val="00721122"/>
    <w:rsid w:val="00744B1C"/>
    <w:rsid w:val="00753019"/>
    <w:rsid w:val="00754801"/>
    <w:rsid w:val="00763961"/>
    <w:rsid w:val="0077769E"/>
    <w:rsid w:val="00795365"/>
    <w:rsid w:val="007A351D"/>
    <w:rsid w:val="007B7765"/>
    <w:rsid w:val="007B7D74"/>
    <w:rsid w:val="007C5BDD"/>
    <w:rsid w:val="007D45E3"/>
    <w:rsid w:val="007E0088"/>
    <w:rsid w:val="007E6115"/>
    <w:rsid w:val="007F4609"/>
    <w:rsid w:val="00802352"/>
    <w:rsid w:val="00810E8B"/>
    <w:rsid w:val="00811CED"/>
    <w:rsid w:val="00816161"/>
    <w:rsid w:val="008176A1"/>
    <w:rsid w:val="00820005"/>
    <w:rsid w:val="00844318"/>
    <w:rsid w:val="00863F5D"/>
    <w:rsid w:val="00870890"/>
    <w:rsid w:val="00873140"/>
    <w:rsid w:val="00873602"/>
    <w:rsid w:val="00875D12"/>
    <w:rsid w:val="008800CD"/>
    <w:rsid w:val="00883C24"/>
    <w:rsid w:val="0088479D"/>
    <w:rsid w:val="00895C02"/>
    <w:rsid w:val="00896889"/>
    <w:rsid w:val="008C5714"/>
    <w:rsid w:val="008D10B2"/>
    <w:rsid w:val="009026DB"/>
    <w:rsid w:val="00903896"/>
    <w:rsid w:val="0090599B"/>
    <w:rsid w:val="00906F3D"/>
    <w:rsid w:val="00934564"/>
    <w:rsid w:val="0094424E"/>
    <w:rsid w:val="00955642"/>
    <w:rsid w:val="009622DF"/>
    <w:rsid w:val="00967DFF"/>
    <w:rsid w:val="00994341"/>
    <w:rsid w:val="009B4939"/>
    <w:rsid w:val="009D1A48"/>
    <w:rsid w:val="009E1CE7"/>
    <w:rsid w:val="009E4EA5"/>
    <w:rsid w:val="009F164B"/>
    <w:rsid w:val="009F323C"/>
    <w:rsid w:val="009F55D5"/>
    <w:rsid w:val="00A14578"/>
    <w:rsid w:val="00A2337E"/>
    <w:rsid w:val="00A3392B"/>
    <w:rsid w:val="00A628C1"/>
    <w:rsid w:val="00A94B64"/>
    <w:rsid w:val="00AA3229"/>
    <w:rsid w:val="00AA7596"/>
    <w:rsid w:val="00AB5E52"/>
    <w:rsid w:val="00AC3B02"/>
    <w:rsid w:val="00AC3B7B"/>
    <w:rsid w:val="00AC5209"/>
    <w:rsid w:val="00AD00A6"/>
    <w:rsid w:val="00AE2DA5"/>
    <w:rsid w:val="00AE6557"/>
    <w:rsid w:val="00AE729E"/>
    <w:rsid w:val="00AE7752"/>
    <w:rsid w:val="00AF0F58"/>
    <w:rsid w:val="00AF7FDA"/>
    <w:rsid w:val="00B263F0"/>
    <w:rsid w:val="00B5356E"/>
    <w:rsid w:val="00B7085D"/>
    <w:rsid w:val="00B7267C"/>
    <w:rsid w:val="00B809AD"/>
    <w:rsid w:val="00B80CBD"/>
    <w:rsid w:val="00B86096"/>
    <w:rsid w:val="00B95A71"/>
    <w:rsid w:val="00B964D9"/>
    <w:rsid w:val="00BA0A7C"/>
    <w:rsid w:val="00BA4F27"/>
    <w:rsid w:val="00BA517C"/>
    <w:rsid w:val="00BA6696"/>
    <w:rsid w:val="00BB3D05"/>
    <w:rsid w:val="00BB73BE"/>
    <w:rsid w:val="00BC2886"/>
    <w:rsid w:val="00BC2D89"/>
    <w:rsid w:val="00BD6531"/>
    <w:rsid w:val="00BE05B2"/>
    <w:rsid w:val="00BE77DF"/>
    <w:rsid w:val="00BF1908"/>
    <w:rsid w:val="00BF7F3B"/>
    <w:rsid w:val="00C04529"/>
    <w:rsid w:val="00C219EF"/>
    <w:rsid w:val="00C22D93"/>
    <w:rsid w:val="00C31120"/>
    <w:rsid w:val="00C34482"/>
    <w:rsid w:val="00C43648"/>
    <w:rsid w:val="00C50A9F"/>
    <w:rsid w:val="00C53EB8"/>
    <w:rsid w:val="00C642FA"/>
    <w:rsid w:val="00C65565"/>
    <w:rsid w:val="00C737A3"/>
    <w:rsid w:val="00CA4E60"/>
    <w:rsid w:val="00CC7622"/>
    <w:rsid w:val="00CD608F"/>
    <w:rsid w:val="00CE5565"/>
    <w:rsid w:val="00D27982"/>
    <w:rsid w:val="00D33B86"/>
    <w:rsid w:val="00D53924"/>
    <w:rsid w:val="00D55D0C"/>
    <w:rsid w:val="00D602BC"/>
    <w:rsid w:val="00D627CF"/>
    <w:rsid w:val="00D74378"/>
    <w:rsid w:val="00D75389"/>
    <w:rsid w:val="00D909A5"/>
    <w:rsid w:val="00D96211"/>
    <w:rsid w:val="00D96D8C"/>
    <w:rsid w:val="00DA6649"/>
    <w:rsid w:val="00DB6B89"/>
    <w:rsid w:val="00DC1259"/>
    <w:rsid w:val="00DC1BD2"/>
    <w:rsid w:val="00DC2571"/>
    <w:rsid w:val="00DC487C"/>
    <w:rsid w:val="00DE6BF6"/>
    <w:rsid w:val="00E1068A"/>
    <w:rsid w:val="00E25884"/>
    <w:rsid w:val="00E25B55"/>
    <w:rsid w:val="00E31C2B"/>
    <w:rsid w:val="00E353F8"/>
    <w:rsid w:val="00E37181"/>
    <w:rsid w:val="00E5426A"/>
    <w:rsid w:val="00E54642"/>
    <w:rsid w:val="00E62DA0"/>
    <w:rsid w:val="00E80CBE"/>
    <w:rsid w:val="00E962E3"/>
    <w:rsid w:val="00E971B7"/>
    <w:rsid w:val="00EA12F7"/>
    <w:rsid w:val="00EB2873"/>
    <w:rsid w:val="00EB6C79"/>
    <w:rsid w:val="00EB7B3E"/>
    <w:rsid w:val="00EC32CB"/>
    <w:rsid w:val="00EC37E9"/>
    <w:rsid w:val="00ED65FE"/>
    <w:rsid w:val="00ED66DA"/>
    <w:rsid w:val="00F01F97"/>
    <w:rsid w:val="00F06995"/>
    <w:rsid w:val="00F13623"/>
    <w:rsid w:val="00F43912"/>
    <w:rsid w:val="00F44D1D"/>
    <w:rsid w:val="00F84B6D"/>
    <w:rsid w:val="00F908BC"/>
    <w:rsid w:val="00F92D5E"/>
    <w:rsid w:val="00FA4EAF"/>
    <w:rsid w:val="00FA5FDA"/>
    <w:rsid w:val="00FB158B"/>
    <w:rsid w:val="00FB6AB3"/>
    <w:rsid w:val="00FD1419"/>
    <w:rsid w:val="00FD6A83"/>
    <w:rsid w:val="00FD79E4"/>
    <w:rsid w:val="00FE1624"/>
    <w:rsid w:val="00FE17E9"/>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D65FE"/>
    <w:pPr>
      <w:ind w:left="720"/>
      <w:contextualSpacing/>
    </w:pPr>
  </w:style>
  <w:style w:type="character" w:styleId="Hyperlink">
    <w:name w:val="Hyperlink"/>
    <w:uiPriority w:val="99"/>
    <w:semiHidden/>
    <w:unhideWhenUsed/>
    <w:rsid w:val="004B1CB4"/>
    <w:rPr>
      <w:color w:val="0000FF"/>
      <w:u w:val="single"/>
    </w:rPr>
  </w:style>
  <w:style w:type="character" w:customStyle="1" w:styleId="Ruller4">
    <w:name w:val="Ruller4 תו"/>
    <w:link w:val="Ruller40"/>
    <w:locked/>
    <w:rsid w:val="00B7085D"/>
    <w:rPr>
      <w:rFonts w:ascii="Arial TUR" w:hAnsi="Arial TUR" w:cs="FrankRuehl"/>
      <w:spacing w:val="10"/>
      <w:sz w:val="22"/>
      <w:szCs w:val="28"/>
    </w:rPr>
  </w:style>
  <w:style w:type="paragraph" w:customStyle="1" w:styleId="Ruller40">
    <w:name w:val="Ruller4"/>
    <w:basedOn w:val="a"/>
    <w:link w:val="Ruller4"/>
    <w:rsid w:val="00B7085D"/>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7306">
      <w:bodyDiv w:val="1"/>
      <w:marLeft w:val="0"/>
      <w:marRight w:val="0"/>
      <w:marTop w:val="0"/>
      <w:marBottom w:val="0"/>
      <w:divBdr>
        <w:top w:val="none" w:sz="0" w:space="0" w:color="auto"/>
        <w:left w:val="none" w:sz="0" w:space="0" w:color="auto"/>
        <w:bottom w:val="none" w:sz="0" w:space="0" w:color="auto"/>
        <w:right w:val="none" w:sz="0" w:space="0" w:color="auto"/>
      </w:divBdr>
    </w:div>
    <w:div w:id="218251875">
      <w:bodyDiv w:val="1"/>
      <w:marLeft w:val="0"/>
      <w:marRight w:val="0"/>
      <w:marTop w:val="0"/>
      <w:marBottom w:val="0"/>
      <w:divBdr>
        <w:top w:val="none" w:sz="0" w:space="0" w:color="auto"/>
        <w:left w:val="none" w:sz="0" w:space="0" w:color="auto"/>
        <w:bottom w:val="none" w:sz="0" w:space="0" w:color="auto"/>
        <w:right w:val="none" w:sz="0" w:space="0" w:color="auto"/>
      </w:divBdr>
    </w:div>
    <w:div w:id="646058622">
      <w:bodyDiv w:val="1"/>
      <w:marLeft w:val="0"/>
      <w:marRight w:val="0"/>
      <w:marTop w:val="0"/>
      <w:marBottom w:val="0"/>
      <w:divBdr>
        <w:top w:val="none" w:sz="0" w:space="0" w:color="auto"/>
        <w:left w:val="none" w:sz="0" w:space="0" w:color="auto"/>
        <w:bottom w:val="none" w:sz="0" w:space="0" w:color="auto"/>
        <w:right w:val="none" w:sz="0" w:space="0" w:color="auto"/>
      </w:divBdr>
    </w:div>
    <w:div w:id="812910757">
      <w:bodyDiv w:val="1"/>
      <w:marLeft w:val="0"/>
      <w:marRight w:val="0"/>
      <w:marTop w:val="0"/>
      <w:marBottom w:val="0"/>
      <w:divBdr>
        <w:top w:val="none" w:sz="0" w:space="0" w:color="auto"/>
        <w:left w:val="none" w:sz="0" w:space="0" w:color="auto"/>
        <w:bottom w:val="none" w:sz="0" w:space="0" w:color="auto"/>
        <w:right w:val="none" w:sz="0" w:space="0" w:color="auto"/>
      </w:divBdr>
    </w:div>
    <w:div w:id="860243659">
      <w:bodyDiv w:val="1"/>
      <w:marLeft w:val="0"/>
      <w:marRight w:val="0"/>
      <w:marTop w:val="0"/>
      <w:marBottom w:val="0"/>
      <w:divBdr>
        <w:top w:val="none" w:sz="0" w:space="0" w:color="auto"/>
        <w:left w:val="none" w:sz="0" w:space="0" w:color="auto"/>
        <w:bottom w:val="none" w:sz="0" w:space="0" w:color="auto"/>
        <w:right w:val="none" w:sz="0" w:space="0" w:color="auto"/>
      </w:divBdr>
    </w:div>
    <w:div w:id="887496267">
      <w:bodyDiv w:val="1"/>
      <w:marLeft w:val="0"/>
      <w:marRight w:val="0"/>
      <w:marTop w:val="0"/>
      <w:marBottom w:val="0"/>
      <w:divBdr>
        <w:top w:val="none" w:sz="0" w:space="0" w:color="auto"/>
        <w:left w:val="none" w:sz="0" w:space="0" w:color="auto"/>
        <w:bottom w:val="none" w:sz="0" w:space="0" w:color="auto"/>
        <w:right w:val="none" w:sz="0" w:space="0" w:color="auto"/>
      </w:divBdr>
      <w:divsChild>
        <w:div w:id="1456680381">
          <w:marLeft w:val="0"/>
          <w:marRight w:val="0"/>
          <w:marTop w:val="0"/>
          <w:marBottom w:val="0"/>
          <w:divBdr>
            <w:top w:val="none" w:sz="0" w:space="0" w:color="auto"/>
            <w:left w:val="none" w:sz="0" w:space="0" w:color="auto"/>
            <w:bottom w:val="none" w:sz="0" w:space="0" w:color="auto"/>
            <w:right w:val="none" w:sz="0" w:space="0" w:color="auto"/>
          </w:divBdr>
        </w:div>
        <w:div w:id="1300647586">
          <w:marLeft w:val="0"/>
          <w:marRight w:val="0"/>
          <w:marTop w:val="0"/>
          <w:marBottom w:val="0"/>
          <w:divBdr>
            <w:top w:val="none" w:sz="0" w:space="0" w:color="auto"/>
            <w:left w:val="none" w:sz="0" w:space="0" w:color="auto"/>
            <w:bottom w:val="none" w:sz="0" w:space="0" w:color="auto"/>
            <w:right w:val="none" w:sz="0" w:space="0" w:color="auto"/>
          </w:divBdr>
        </w:div>
        <w:div w:id="1112746271">
          <w:marLeft w:val="0"/>
          <w:marRight w:val="0"/>
          <w:marTop w:val="0"/>
          <w:marBottom w:val="0"/>
          <w:divBdr>
            <w:top w:val="none" w:sz="0" w:space="0" w:color="auto"/>
            <w:left w:val="none" w:sz="0" w:space="0" w:color="auto"/>
            <w:bottom w:val="none" w:sz="0" w:space="0" w:color="auto"/>
            <w:right w:val="none" w:sz="0" w:space="0" w:color="auto"/>
          </w:divBdr>
        </w:div>
        <w:div w:id="813520905">
          <w:marLeft w:val="0"/>
          <w:marRight w:val="0"/>
          <w:marTop w:val="0"/>
          <w:marBottom w:val="0"/>
          <w:divBdr>
            <w:top w:val="none" w:sz="0" w:space="0" w:color="auto"/>
            <w:left w:val="none" w:sz="0" w:space="0" w:color="auto"/>
            <w:bottom w:val="none" w:sz="0" w:space="0" w:color="auto"/>
            <w:right w:val="none" w:sz="0" w:space="0" w:color="auto"/>
          </w:divBdr>
        </w:div>
        <w:div w:id="1656107400">
          <w:marLeft w:val="0"/>
          <w:marRight w:val="0"/>
          <w:marTop w:val="0"/>
          <w:marBottom w:val="0"/>
          <w:divBdr>
            <w:top w:val="none" w:sz="0" w:space="0" w:color="auto"/>
            <w:left w:val="none" w:sz="0" w:space="0" w:color="auto"/>
            <w:bottom w:val="none" w:sz="0" w:space="0" w:color="auto"/>
            <w:right w:val="none" w:sz="0" w:space="0" w:color="auto"/>
          </w:divBdr>
        </w:div>
        <w:div w:id="1145849727">
          <w:marLeft w:val="0"/>
          <w:marRight w:val="0"/>
          <w:marTop w:val="0"/>
          <w:marBottom w:val="0"/>
          <w:divBdr>
            <w:top w:val="none" w:sz="0" w:space="0" w:color="auto"/>
            <w:left w:val="none" w:sz="0" w:space="0" w:color="auto"/>
            <w:bottom w:val="none" w:sz="0" w:space="0" w:color="auto"/>
            <w:right w:val="none" w:sz="0" w:space="0" w:color="auto"/>
          </w:divBdr>
        </w:div>
        <w:div w:id="1987054314">
          <w:marLeft w:val="0"/>
          <w:marRight w:val="0"/>
          <w:marTop w:val="0"/>
          <w:marBottom w:val="0"/>
          <w:divBdr>
            <w:top w:val="none" w:sz="0" w:space="0" w:color="auto"/>
            <w:left w:val="none" w:sz="0" w:space="0" w:color="auto"/>
            <w:bottom w:val="none" w:sz="0" w:space="0" w:color="auto"/>
            <w:right w:val="none" w:sz="0" w:space="0" w:color="auto"/>
          </w:divBdr>
        </w:div>
        <w:div w:id="838885154">
          <w:marLeft w:val="0"/>
          <w:marRight w:val="0"/>
          <w:marTop w:val="0"/>
          <w:marBottom w:val="0"/>
          <w:divBdr>
            <w:top w:val="none" w:sz="0" w:space="0" w:color="auto"/>
            <w:left w:val="none" w:sz="0" w:space="0" w:color="auto"/>
            <w:bottom w:val="none" w:sz="0" w:space="0" w:color="auto"/>
            <w:right w:val="none" w:sz="0" w:space="0" w:color="auto"/>
          </w:divBdr>
        </w:div>
        <w:div w:id="1082414421">
          <w:marLeft w:val="0"/>
          <w:marRight w:val="0"/>
          <w:marTop w:val="0"/>
          <w:marBottom w:val="0"/>
          <w:divBdr>
            <w:top w:val="none" w:sz="0" w:space="0" w:color="auto"/>
            <w:left w:val="none" w:sz="0" w:space="0" w:color="auto"/>
            <w:bottom w:val="none" w:sz="0" w:space="0" w:color="auto"/>
            <w:right w:val="none" w:sz="0" w:space="0" w:color="auto"/>
          </w:divBdr>
        </w:div>
        <w:div w:id="1274676954">
          <w:marLeft w:val="0"/>
          <w:marRight w:val="0"/>
          <w:marTop w:val="0"/>
          <w:marBottom w:val="0"/>
          <w:divBdr>
            <w:top w:val="none" w:sz="0" w:space="0" w:color="auto"/>
            <w:left w:val="none" w:sz="0" w:space="0" w:color="auto"/>
            <w:bottom w:val="none" w:sz="0" w:space="0" w:color="auto"/>
            <w:right w:val="none" w:sz="0" w:space="0" w:color="auto"/>
          </w:divBdr>
        </w:div>
        <w:div w:id="1777140818">
          <w:marLeft w:val="0"/>
          <w:marRight w:val="0"/>
          <w:marTop w:val="0"/>
          <w:marBottom w:val="0"/>
          <w:divBdr>
            <w:top w:val="none" w:sz="0" w:space="0" w:color="auto"/>
            <w:left w:val="none" w:sz="0" w:space="0" w:color="auto"/>
            <w:bottom w:val="none" w:sz="0" w:space="0" w:color="auto"/>
            <w:right w:val="none" w:sz="0" w:space="0" w:color="auto"/>
          </w:divBdr>
        </w:div>
        <w:div w:id="882592582">
          <w:marLeft w:val="0"/>
          <w:marRight w:val="0"/>
          <w:marTop w:val="0"/>
          <w:marBottom w:val="0"/>
          <w:divBdr>
            <w:top w:val="none" w:sz="0" w:space="0" w:color="auto"/>
            <w:left w:val="none" w:sz="0" w:space="0" w:color="auto"/>
            <w:bottom w:val="none" w:sz="0" w:space="0" w:color="auto"/>
            <w:right w:val="none" w:sz="0" w:space="0" w:color="auto"/>
          </w:divBdr>
        </w:div>
        <w:div w:id="1557357163">
          <w:marLeft w:val="0"/>
          <w:marRight w:val="0"/>
          <w:marTop w:val="0"/>
          <w:marBottom w:val="0"/>
          <w:divBdr>
            <w:top w:val="none" w:sz="0" w:space="0" w:color="auto"/>
            <w:left w:val="none" w:sz="0" w:space="0" w:color="auto"/>
            <w:bottom w:val="none" w:sz="0" w:space="0" w:color="auto"/>
            <w:right w:val="none" w:sz="0" w:space="0" w:color="auto"/>
          </w:divBdr>
        </w:div>
        <w:div w:id="1341081209">
          <w:marLeft w:val="0"/>
          <w:marRight w:val="0"/>
          <w:marTop w:val="0"/>
          <w:marBottom w:val="0"/>
          <w:divBdr>
            <w:top w:val="none" w:sz="0" w:space="0" w:color="auto"/>
            <w:left w:val="none" w:sz="0" w:space="0" w:color="auto"/>
            <w:bottom w:val="none" w:sz="0" w:space="0" w:color="auto"/>
            <w:right w:val="none" w:sz="0" w:space="0" w:color="auto"/>
          </w:divBdr>
        </w:div>
        <w:div w:id="571546896">
          <w:marLeft w:val="0"/>
          <w:marRight w:val="0"/>
          <w:marTop w:val="0"/>
          <w:marBottom w:val="0"/>
          <w:divBdr>
            <w:top w:val="none" w:sz="0" w:space="0" w:color="auto"/>
            <w:left w:val="none" w:sz="0" w:space="0" w:color="auto"/>
            <w:bottom w:val="none" w:sz="0" w:space="0" w:color="auto"/>
            <w:right w:val="none" w:sz="0" w:space="0" w:color="auto"/>
          </w:divBdr>
        </w:div>
        <w:div w:id="1935699320">
          <w:marLeft w:val="0"/>
          <w:marRight w:val="0"/>
          <w:marTop w:val="0"/>
          <w:marBottom w:val="0"/>
          <w:divBdr>
            <w:top w:val="none" w:sz="0" w:space="0" w:color="auto"/>
            <w:left w:val="none" w:sz="0" w:space="0" w:color="auto"/>
            <w:bottom w:val="none" w:sz="0" w:space="0" w:color="auto"/>
            <w:right w:val="none" w:sz="0" w:space="0" w:color="auto"/>
          </w:divBdr>
        </w:div>
        <w:div w:id="1020618530">
          <w:marLeft w:val="0"/>
          <w:marRight w:val="0"/>
          <w:marTop w:val="0"/>
          <w:marBottom w:val="0"/>
          <w:divBdr>
            <w:top w:val="none" w:sz="0" w:space="0" w:color="auto"/>
            <w:left w:val="none" w:sz="0" w:space="0" w:color="auto"/>
            <w:bottom w:val="none" w:sz="0" w:space="0" w:color="auto"/>
            <w:right w:val="none" w:sz="0" w:space="0" w:color="auto"/>
          </w:divBdr>
        </w:div>
        <w:div w:id="652636691">
          <w:marLeft w:val="0"/>
          <w:marRight w:val="0"/>
          <w:marTop w:val="0"/>
          <w:marBottom w:val="0"/>
          <w:divBdr>
            <w:top w:val="none" w:sz="0" w:space="0" w:color="auto"/>
            <w:left w:val="none" w:sz="0" w:space="0" w:color="auto"/>
            <w:bottom w:val="none" w:sz="0" w:space="0" w:color="auto"/>
            <w:right w:val="none" w:sz="0" w:space="0" w:color="auto"/>
          </w:divBdr>
        </w:div>
        <w:div w:id="1841458410">
          <w:marLeft w:val="0"/>
          <w:marRight w:val="0"/>
          <w:marTop w:val="0"/>
          <w:marBottom w:val="0"/>
          <w:divBdr>
            <w:top w:val="none" w:sz="0" w:space="0" w:color="auto"/>
            <w:left w:val="none" w:sz="0" w:space="0" w:color="auto"/>
            <w:bottom w:val="none" w:sz="0" w:space="0" w:color="auto"/>
            <w:right w:val="none" w:sz="0" w:space="0" w:color="auto"/>
          </w:divBdr>
        </w:div>
        <w:div w:id="1670980704">
          <w:marLeft w:val="0"/>
          <w:marRight w:val="0"/>
          <w:marTop w:val="0"/>
          <w:marBottom w:val="0"/>
          <w:divBdr>
            <w:top w:val="none" w:sz="0" w:space="0" w:color="auto"/>
            <w:left w:val="none" w:sz="0" w:space="0" w:color="auto"/>
            <w:bottom w:val="none" w:sz="0" w:space="0" w:color="auto"/>
            <w:right w:val="none" w:sz="0" w:space="0" w:color="auto"/>
          </w:divBdr>
        </w:div>
        <w:div w:id="330834222">
          <w:marLeft w:val="0"/>
          <w:marRight w:val="0"/>
          <w:marTop w:val="0"/>
          <w:marBottom w:val="0"/>
          <w:divBdr>
            <w:top w:val="none" w:sz="0" w:space="0" w:color="auto"/>
            <w:left w:val="none" w:sz="0" w:space="0" w:color="auto"/>
            <w:bottom w:val="none" w:sz="0" w:space="0" w:color="auto"/>
            <w:right w:val="none" w:sz="0" w:space="0" w:color="auto"/>
          </w:divBdr>
        </w:div>
        <w:div w:id="2063020428">
          <w:marLeft w:val="0"/>
          <w:marRight w:val="0"/>
          <w:marTop w:val="0"/>
          <w:marBottom w:val="0"/>
          <w:divBdr>
            <w:top w:val="none" w:sz="0" w:space="0" w:color="auto"/>
            <w:left w:val="none" w:sz="0" w:space="0" w:color="auto"/>
            <w:bottom w:val="none" w:sz="0" w:space="0" w:color="auto"/>
            <w:right w:val="none" w:sz="0" w:space="0" w:color="auto"/>
          </w:divBdr>
        </w:div>
        <w:div w:id="1358121921">
          <w:marLeft w:val="0"/>
          <w:marRight w:val="0"/>
          <w:marTop w:val="0"/>
          <w:marBottom w:val="0"/>
          <w:divBdr>
            <w:top w:val="none" w:sz="0" w:space="0" w:color="auto"/>
            <w:left w:val="none" w:sz="0" w:space="0" w:color="auto"/>
            <w:bottom w:val="none" w:sz="0" w:space="0" w:color="auto"/>
            <w:right w:val="none" w:sz="0" w:space="0" w:color="auto"/>
          </w:divBdr>
        </w:div>
        <w:div w:id="1042438230">
          <w:marLeft w:val="0"/>
          <w:marRight w:val="0"/>
          <w:marTop w:val="0"/>
          <w:marBottom w:val="0"/>
          <w:divBdr>
            <w:top w:val="none" w:sz="0" w:space="0" w:color="auto"/>
            <w:left w:val="none" w:sz="0" w:space="0" w:color="auto"/>
            <w:bottom w:val="none" w:sz="0" w:space="0" w:color="auto"/>
            <w:right w:val="none" w:sz="0" w:space="0" w:color="auto"/>
          </w:divBdr>
        </w:div>
        <w:div w:id="2060200561">
          <w:marLeft w:val="0"/>
          <w:marRight w:val="0"/>
          <w:marTop w:val="0"/>
          <w:marBottom w:val="0"/>
          <w:divBdr>
            <w:top w:val="none" w:sz="0" w:space="0" w:color="auto"/>
            <w:left w:val="none" w:sz="0" w:space="0" w:color="auto"/>
            <w:bottom w:val="none" w:sz="0" w:space="0" w:color="auto"/>
            <w:right w:val="none" w:sz="0" w:space="0" w:color="auto"/>
          </w:divBdr>
        </w:div>
        <w:div w:id="1014842745">
          <w:marLeft w:val="0"/>
          <w:marRight w:val="0"/>
          <w:marTop w:val="0"/>
          <w:marBottom w:val="0"/>
          <w:divBdr>
            <w:top w:val="none" w:sz="0" w:space="0" w:color="auto"/>
            <w:left w:val="none" w:sz="0" w:space="0" w:color="auto"/>
            <w:bottom w:val="none" w:sz="0" w:space="0" w:color="auto"/>
            <w:right w:val="none" w:sz="0" w:space="0" w:color="auto"/>
          </w:divBdr>
        </w:div>
        <w:div w:id="1528133656">
          <w:marLeft w:val="0"/>
          <w:marRight w:val="0"/>
          <w:marTop w:val="0"/>
          <w:marBottom w:val="0"/>
          <w:divBdr>
            <w:top w:val="none" w:sz="0" w:space="0" w:color="auto"/>
            <w:left w:val="none" w:sz="0" w:space="0" w:color="auto"/>
            <w:bottom w:val="none" w:sz="0" w:space="0" w:color="auto"/>
            <w:right w:val="none" w:sz="0" w:space="0" w:color="auto"/>
          </w:divBdr>
        </w:div>
        <w:div w:id="1360159962">
          <w:marLeft w:val="0"/>
          <w:marRight w:val="0"/>
          <w:marTop w:val="0"/>
          <w:marBottom w:val="0"/>
          <w:divBdr>
            <w:top w:val="none" w:sz="0" w:space="0" w:color="auto"/>
            <w:left w:val="none" w:sz="0" w:space="0" w:color="auto"/>
            <w:bottom w:val="none" w:sz="0" w:space="0" w:color="auto"/>
            <w:right w:val="none" w:sz="0" w:space="0" w:color="auto"/>
          </w:divBdr>
        </w:div>
        <w:div w:id="785346296">
          <w:marLeft w:val="0"/>
          <w:marRight w:val="0"/>
          <w:marTop w:val="0"/>
          <w:marBottom w:val="0"/>
          <w:divBdr>
            <w:top w:val="none" w:sz="0" w:space="0" w:color="auto"/>
            <w:left w:val="none" w:sz="0" w:space="0" w:color="auto"/>
            <w:bottom w:val="none" w:sz="0" w:space="0" w:color="auto"/>
            <w:right w:val="none" w:sz="0" w:space="0" w:color="auto"/>
          </w:divBdr>
        </w:div>
        <w:div w:id="983506699">
          <w:marLeft w:val="0"/>
          <w:marRight w:val="0"/>
          <w:marTop w:val="0"/>
          <w:marBottom w:val="0"/>
          <w:divBdr>
            <w:top w:val="none" w:sz="0" w:space="0" w:color="auto"/>
            <w:left w:val="none" w:sz="0" w:space="0" w:color="auto"/>
            <w:bottom w:val="none" w:sz="0" w:space="0" w:color="auto"/>
            <w:right w:val="none" w:sz="0" w:space="0" w:color="auto"/>
          </w:divBdr>
        </w:div>
        <w:div w:id="1836411064">
          <w:marLeft w:val="0"/>
          <w:marRight w:val="0"/>
          <w:marTop w:val="0"/>
          <w:marBottom w:val="0"/>
          <w:divBdr>
            <w:top w:val="none" w:sz="0" w:space="0" w:color="auto"/>
            <w:left w:val="none" w:sz="0" w:space="0" w:color="auto"/>
            <w:bottom w:val="none" w:sz="0" w:space="0" w:color="auto"/>
            <w:right w:val="none" w:sz="0" w:space="0" w:color="auto"/>
          </w:divBdr>
        </w:div>
        <w:div w:id="269171357">
          <w:marLeft w:val="0"/>
          <w:marRight w:val="0"/>
          <w:marTop w:val="0"/>
          <w:marBottom w:val="0"/>
          <w:divBdr>
            <w:top w:val="none" w:sz="0" w:space="0" w:color="auto"/>
            <w:left w:val="none" w:sz="0" w:space="0" w:color="auto"/>
            <w:bottom w:val="none" w:sz="0" w:space="0" w:color="auto"/>
            <w:right w:val="none" w:sz="0" w:space="0" w:color="auto"/>
          </w:divBdr>
        </w:div>
        <w:div w:id="989748825">
          <w:marLeft w:val="0"/>
          <w:marRight w:val="0"/>
          <w:marTop w:val="0"/>
          <w:marBottom w:val="0"/>
          <w:divBdr>
            <w:top w:val="none" w:sz="0" w:space="0" w:color="auto"/>
            <w:left w:val="none" w:sz="0" w:space="0" w:color="auto"/>
            <w:bottom w:val="none" w:sz="0" w:space="0" w:color="auto"/>
            <w:right w:val="none" w:sz="0" w:space="0" w:color="auto"/>
          </w:divBdr>
        </w:div>
        <w:div w:id="757406241">
          <w:marLeft w:val="0"/>
          <w:marRight w:val="0"/>
          <w:marTop w:val="0"/>
          <w:marBottom w:val="0"/>
          <w:divBdr>
            <w:top w:val="none" w:sz="0" w:space="0" w:color="auto"/>
            <w:left w:val="none" w:sz="0" w:space="0" w:color="auto"/>
            <w:bottom w:val="none" w:sz="0" w:space="0" w:color="auto"/>
            <w:right w:val="none" w:sz="0" w:space="0" w:color="auto"/>
          </w:divBdr>
        </w:div>
        <w:div w:id="1902591830">
          <w:marLeft w:val="0"/>
          <w:marRight w:val="0"/>
          <w:marTop w:val="0"/>
          <w:marBottom w:val="0"/>
          <w:divBdr>
            <w:top w:val="none" w:sz="0" w:space="0" w:color="auto"/>
            <w:left w:val="none" w:sz="0" w:space="0" w:color="auto"/>
            <w:bottom w:val="none" w:sz="0" w:space="0" w:color="auto"/>
            <w:right w:val="none" w:sz="0" w:space="0" w:color="auto"/>
          </w:divBdr>
        </w:div>
        <w:div w:id="1483473097">
          <w:marLeft w:val="0"/>
          <w:marRight w:val="0"/>
          <w:marTop w:val="0"/>
          <w:marBottom w:val="0"/>
          <w:divBdr>
            <w:top w:val="none" w:sz="0" w:space="0" w:color="auto"/>
            <w:left w:val="none" w:sz="0" w:space="0" w:color="auto"/>
            <w:bottom w:val="none" w:sz="0" w:space="0" w:color="auto"/>
            <w:right w:val="none" w:sz="0" w:space="0" w:color="auto"/>
          </w:divBdr>
        </w:div>
        <w:div w:id="675813352">
          <w:marLeft w:val="0"/>
          <w:marRight w:val="0"/>
          <w:marTop w:val="0"/>
          <w:marBottom w:val="0"/>
          <w:divBdr>
            <w:top w:val="none" w:sz="0" w:space="0" w:color="auto"/>
            <w:left w:val="none" w:sz="0" w:space="0" w:color="auto"/>
            <w:bottom w:val="none" w:sz="0" w:space="0" w:color="auto"/>
            <w:right w:val="none" w:sz="0" w:space="0" w:color="auto"/>
          </w:divBdr>
        </w:div>
        <w:div w:id="736976342">
          <w:marLeft w:val="0"/>
          <w:marRight w:val="0"/>
          <w:marTop w:val="0"/>
          <w:marBottom w:val="0"/>
          <w:divBdr>
            <w:top w:val="none" w:sz="0" w:space="0" w:color="auto"/>
            <w:left w:val="none" w:sz="0" w:space="0" w:color="auto"/>
            <w:bottom w:val="none" w:sz="0" w:space="0" w:color="auto"/>
            <w:right w:val="none" w:sz="0" w:space="0" w:color="auto"/>
          </w:divBdr>
        </w:div>
        <w:div w:id="131486516">
          <w:marLeft w:val="0"/>
          <w:marRight w:val="0"/>
          <w:marTop w:val="0"/>
          <w:marBottom w:val="0"/>
          <w:divBdr>
            <w:top w:val="none" w:sz="0" w:space="0" w:color="auto"/>
            <w:left w:val="none" w:sz="0" w:space="0" w:color="auto"/>
            <w:bottom w:val="none" w:sz="0" w:space="0" w:color="auto"/>
            <w:right w:val="none" w:sz="0" w:space="0" w:color="auto"/>
          </w:divBdr>
        </w:div>
        <w:div w:id="262081127">
          <w:marLeft w:val="0"/>
          <w:marRight w:val="0"/>
          <w:marTop w:val="0"/>
          <w:marBottom w:val="0"/>
          <w:divBdr>
            <w:top w:val="none" w:sz="0" w:space="0" w:color="auto"/>
            <w:left w:val="none" w:sz="0" w:space="0" w:color="auto"/>
            <w:bottom w:val="none" w:sz="0" w:space="0" w:color="auto"/>
            <w:right w:val="none" w:sz="0" w:space="0" w:color="auto"/>
          </w:divBdr>
        </w:div>
        <w:div w:id="587693828">
          <w:marLeft w:val="0"/>
          <w:marRight w:val="0"/>
          <w:marTop w:val="0"/>
          <w:marBottom w:val="0"/>
          <w:divBdr>
            <w:top w:val="none" w:sz="0" w:space="0" w:color="auto"/>
            <w:left w:val="none" w:sz="0" w:space="0" w:color="auto"/>
            <w:bottom w:val="none" w:sz="0" w:space="0" w:color="auto"/>
            <w:right w:val="none" w:sz="0" w:space="0" w:color="auto"/>
          </w:divBdr>
        </w:div>
        <w:div w:id="1876575396">
          <w:marLeft w:val="0"/>
          <w:marRight w:val="0"/>
          <w:marTop w:val="0"/>
          <w:marBottom w:val="0"/>
          <w:divBdr>
            <w:top w:val="none" w:sz="0" w:space="0" w:color="auto"/>
            <w:left w:val="none" w:sz="0" w:space="0" w:color="auto"/>
            <w:bottom w:val="none" w:sz="0" w:space="0" w:color="auto"/>
            <w:right w:val="none" w:sz="0" w:space="0" w:color="auto"/>
          </w:divBdr>
        </w:div>
        <w:div w:id="1675261406">
          <w:marLeft w:val="0"/>
          <w:marRight w:val="0"/>
          <w:marTop w:val="0"/>
          <w:marBottom w:val="0"/>
          <w:divBdr>
            <w:top w:val="none" w:sz="0" w:space="0" w:color="auto"/>
            <w:left w:val="none" w:sz="0" w:space="0" w:color="auto"/>
            <w:bottom w:val="none" w:sz="0" w:space="0" w:color="auto"/>
            <w:right w:val="none" w:sz="0" w:space="0" w:color="auto"/>
          </w:divBdr>
        </w:div>
        <w:div w:id="1833980523">
          <w:marLeft w:val="0"/>
          <w:marRight w:val="0"/>
          <w:marTop w:val="0"/>
          <w:marBottom w:val="0"/>
          <w:divBdr>
            <w:top w:val="none" w:sz="0" w:space="0" w:color="auto"/>
            <w:left w:val="none" w:sz="0" w:space="0" w:color="auto"/>
            <w:bottom w:val="none" w:sz="0" w:space="0" w:color="auto"/>
            <w:right w:val="none" w:sz="0" w:space="0" w:color="auto"/>
          </w:divBdr>
        </w:div>
        <w:div w:id="1925142192">
          <w:marLeft w:val="0"/>
          <w:marRight w:val="0"/>
          <w:marTop w:val="0"/>
          <w:marBottom w:val="0"/>
          <w:divBdr>
            <w:top w:val="none" w:sz="0" w:space="0" w:color="auto"/>
            <w:left w:val="none" w:sz="0" w:space="0" w:color="auto"/>
            <w:bottom w:val="none" w:sz="0" w:space="0" w:color="auto"/>
            <w:right w:val="none" w:sz="0" w:space="0" w:color="auto"/>
          </w:divBdr>
        </w:div>
        <w:div w:id="954679903">
          <w:marLeft w:val="0"/>
          <w:marRight w:val="0"/>
          <w:marTop w:val="0"/>
          <w:marBottom w:val="0"/>
          <w:divBdr>
            <w:top w:val="none" w:sz="0" w:space="0" w:color="auto"/>
            <w:left w:val="none" w:sz="0" w:space="0" w:color="auto"/>
            <w:bottom w:val="none" w:sz="0" w:space="0" w:color="auto"/>
            <w:right w:val="none" w:sz="0" w:space="0" w:color="auto"/>
          </w:divBdr>
        </w:div>
        <w:div w:id="1601404487">
          <w:marLeft w:val="0"/>
          <w:marRight w:val="0"/>
          <w:marTop w:val="0"/>
          <w:marBottom w:val="0"/>
          <w:divBdr>
            <w:top w:val="none" w:sz="0" w:space="0" w:color="auto"/>
            <w:left w:val="none" w:sz="0" w:space="0" w:color="auto"/>
            <w:bottom w:val="none" w:sz="0" w:space="0" w:color="auto"/>
            <w:right w:val="none" w:sz="0" w:space="0" w:color="auto"/>
          </w:divBdr>
        </w:div>
        <w:div w:id="602297908">
          <w:marLeft w:val="0"/>
          <w:marRight w:val="0"/>
          <w:marTop w:val="0"/>
          <w:marBottom w:val="0"/>
          <w:divBdr>
            <w:top w:val="none" w:sz="0" w:space="0" w:color="auto"/>
            <w:left w:val="none" w:sz="0" w:space="0" w:color="auto"/>
            <w:bottom w:val="none" w:sz="0" w:space="0" w:color="auto"/>
            <w:right w:val="none" w:sz="0" w:space="0" w:color="auto"/>
          </w:divBdr>
        </w:div>
        <w:div w:id="528103613">
          <w:marLeft w:val="0"/>
          <w:marRight w:val="0"/>
          <w:marTop w:val="0"/>
          <w:marBottom w:val="0"/>
          <w:divBdr>
            <w:top w:val="none" w:sz="0" w:space="0" w:color="auto"/>
            <w:left w:val="none" w:sz="0" w:space="0" w:color="auto"/>
            <w:bottom w:val="none" w:sz="0" w:space="0" w:color="auto"/>
            <w:right w:val="none" w:sz="0" w:space="0" w:color="auto"/>
          </w:divBdr>
        </w:div>
        <w:div w:id="1313756422">
          <w:marLeft w:val="0"/>
          <w:marRight w:val="0"/>
          <w:marTop w:val="0"/>
          <w:marBottom w:val="0"/>
          <w:divBdr>
            <w:top w:val="none" w:sz="0" w:space="0" w:color="auto"/>
            <w:left w:val="none" w:sz="0" w:space="0" w:color="auto"/>
            <w:bottom w:val="none" w:sz="0" w:space="0" w:color="auto"/>
            <w:right w:val="none" w:sz="0" w:space="0" w:color="auto"/>
          </w:divBdr>
        </w:div>
        <w:div w:id="1953630383">
          <w:marLeft w:val="0"/>
          <w:marRight w:val="0"/>
          <w:marTop w:val="0"/>
          <w:marBottom w:val="0"/>
          <w:divBdr>
            <w:top w:val="none" w:sz="0" w:space="0" w:color="auto"/>
            <w:left w:val="none" w:sz="0" w:space="0" w:color="auto"/>
            <w:bottom w:val="none" w:sz="0" w:space="0" w:color="auto"/>
            <w:right w:val="none" w:sz="0" w:space="0" w:color="auto"/>
          </w:divBdr>
        </w:div>
        <w:div w:id="420176846">
          <w:marLeft w:val="0"/>
          <w:marRight w:val="0"/>
          <w:marTop w:val="0"/>
          <w:marBottom w:val="0"/>
          <w:divBdr>
            <w:top w:val="none" w:sz="0" w:space="0" w:color="auto"/>
            <w:left w:val="none" w:sz="0" w:space="0" w:color="auto"/>
            <w:bottom w:val="none" w:sz="0" w:space="0" w:color="auto"/>
            <w:right w:val="none" w:sz="0" w:space="0" w:color="auto"/>
          </w:divBdr>
        </w:div>
        <w:div w:id="1787847648">
          <w:marLeft w:val="0"/>
          <w:marRight w:val="0"/>
          <w:marTop w:val="0"/>
          <w:marBottom w:val="0"/>
          <w:divBdr>
            <w:top w:val="none" w:sz="0" w:space="0" w:color="auto"/>
            <w:left w:val="none" w:sz="0" w:space="0" w:color="auto"/>
            <w:bottom w:val="none" w:sz="0" w:space="0" w:color="auto"/>
            <w:right w:val="none" w:sz="0" w:space="0" w:color="auto"/>
          </w:divBdr>
        </w:div>
        <w:div w:id="740249482">
          <w:marLeft w:val="0"/>
          <w:marRight w:val="0"/>
          <w:marTop w:val="0"/>
          <w:marBottom w:val="0"/>
          <w:divBdr>
            <w:top w:val="none" w:sz="0" w:space="0" w:color="auto"/>
            <w:left w:val="none" w:sz="0" w:space="0" w:color="auto"/>
            <w:bottom w:val="none" w:sz="0" w:space="0" w:color="auto"/>
            <w:right w:val="none" w:sz="0" w:space="0" w:color="auto"/>
          </w:divBdr>
        </w:div>
        <w:div w:id="2039813211">
          <w:marLeft w:val="0"/>
          <w:marRight w:val="0"/>
          <w:marTop w:val="0"/>
          <w:marBottom w:val="0"/>
          <w:divBdr>
            <w:top w:val="none" w:sz="0" w:space="0" w:color="auto"/>
            <w:left w:val="none" w:sz="0" w:space="0" w:color="auto"/>
            <w:bottom w:val="none" w:sz="0" w:space="0" w:color="auto"/>
            <w:right w:val="none" w:sz="0" w:space="0" w:color="auto"/>
          </w:divBdr>
        </w:div>
        <w:div w:id="8531376">
          <w:marLeft w:val="0"/>
          <w:marRight w:val="0"/>
          <w:marTop w:val="0"/>
          <w:marBottom w:val="0"/>
          <w:divBdr>
            <w:top w:val="none" w:sz="0" w:space="0" w:color="auto"/>
            <w:left w:val="none" w:sz="0" w:space="0" w:color="auto"/>
            <w:bottom w:val="none" w:sz="0" w:space="0" w:color="auto"/>
            <w:right w:val="none" w:sz="0" w:space="0" w:color="auto"/>
          </w:divBdr>
        </w:div>
        <w:div w:id="1227379149">
          <w:marLeft w:val="0"/>
          <w:marRight w:val="0"/>
          <w:marTop w:val="0"/>
          <w:marBottom w:val="0"/>
          <w:divBdr>
            <w:top w:val="none" w:sz="0" w:space="0" w:color="auto"/>
            <w:left w:val="none" w:sz="0" w:space="0" w:color="auto"/>
            <w:bottom w:val="none" w:sz="0" w:space="0" w:color="auto"/>
            <w:right w:val="none" w:sz="0" w:space="0" w:color="auto"/>
          </w:divBdr>
        </w:div>
        <w:div w:id="946351084">
          <w:marLeft w:val="0"/>
          <w:marRight w:val="0"/>
          <w:marTop w:val="0"/>
          <w:marBottom w:val="0"/>
          <w:divBdr>
            <w:top w:val="none" w:sz="0" w:space="0" w:color="auto"/>
            <w:left w:val="none" w:sz="0" w:space="0" w:color="auto"/>
            <w:bottom w:val="none" w:sz="0" w:space="0" w:color="auto"/>
            <w:right w:val="none" w:sz="0" w:space="0" w:color="auto"/>
          </w:divBdr>
        </w:div>
        <w:div w:id="577524976">
          <w:marLeft w:val="0"/>
          <w:marRight w:val="0"/>
          <w:marTop w:val="0"/>
          <w:marBottom w:val="0"/>
          <w:divBdr>
            <w:top w:val="none" w:sz="0" w:space="0" w:color="auto"/>
            <w:left w:val="none" w:sz="0" w:space="0" w:color="auto"/>
            <w:bottom w:val="none" w:sz="0" w:space="0" w:color="auto"/>
            <w:right w:val="none" w:sz="0" w:space="0" w:color="auto"/>
          </w:divBdr>
        </w:div>
        <w:div w:id="317542178">
          <w:marLeft w:val="0"/>
          <w:marRight w:val="0"/>
          <w:marTop w:val="0"/>
          <w:marBottom w:val="0"/>
          <w:divBdr>
            <w:top w:val="none" w:sz="0" w:space="0" w:color="auto"/>
            <w:left w:val="none" w:sz="0" w:space="0" w:color="auto"/>
            <w:bottom w:val="none" w:sz="0" w:space="0" w:color="auto"/>
            <w:right w:val="none" w:sz="0" w:space="0" w:color="auto"/>
          </w:divBdr>
        </w:div>
        <w:div w:id="1507549740">
          <w:marLeft w:val="0"/>
          <w:marRight w:val="0"/>
          <w:marTop w:val="0"/>
          <w:marBottom w:val="0"/>
          <w:divBdr>
            <w:top w:val="none" w:sz="0" w:space="0" w:color="auto"/>
            <w:left w:val="none" w:sz="0" w:space="0" w:color="auto"/>
            <w:bottom w:val="none" w:sz="0" w:space="0" w:color="auto"/>
            <w:right w:val="none" w:sz="0" w:space="0" w:color="auto"/>
          </w:divBdr>
        </w:div>
        <w:div w:id="1240823763">
          <w:marLeft w:val="0"/>
          <w:marRight w:val="0"/>
          <w:marTop w:val="0"/>
          <w:marBottom w:val="0"/>
          <w:divBdr>
            <w:top w:val="none" w:sz="0" w:space="0" w:color="auto"/>
            <w:left w:val="none" w:sz="0" w:space="0" w:color="auto"/>
            <w:bottom w:val="none" w:sz="0" w:space="0" w:color="auto"/>
            <w:right w:val="none" w:sz="0" w:space="0" w:color="auto"/>
          </w:divBdr>
        </w:div>
        <w:div w:id="356080358">
          <w:marLeft w:val="0"/>
          <w:marRight w:val="0"/>
          <w:marTop w:val="0"/>
          <w:marBottom w:val="0"/>
          <w:divBdr>
            <w:top w:val="none" w:sz="0" w:space="0" w:color="auto"/>
            <w:left w:val="none" w:sz="0" w:space="0" w:color="auto"/>
            <w:bottom w:val="none" w:sz="0" w:space="0" w:color="auto"/>
            <w:right w:val="none" w:sz="0" w:space="0" w:color="auto"/>
          </w:divBdr>
        </w:div>
        <w:div w:id="1260800183">
          <w:marLeft w:val="0"/>
          <w:marRight w:val="0"/>
          <w:marTop w:val="0"/>
          <w:marBottom w:val="0"/>
          <w:divBdr>
            <w:top w:val="none" w:sz="0" w:space="0" w:color="auto"/>
            <w:left w:val="none" w:sz="0" w:space="0" w:color="auto"/>
            <w:bottom w:val="none" w:sz="0" w:space="0" w:color="auto"/>
            <w:right w:val="none" w:sz="0" w:space="0" w:color="auto"/>
          </w:divBdr>
        </w:div>
        <w:div w:id="770127260">
          <w:marLeft w:val="0"/>
          <w:marRight w:val="0"/>
          <w:marTop w:val="0"/>
          <w:marBottom w:val="0"/>
          <w:divBdr>
            <w:top w:val="none" w:sz="0" w:space="0" w:color="auto"/>
            <w:left w:val="none" w:sz="0" w:space="0" w:color="auto"/>
            <w:bottom w:val="none" w:sz="0" w:space="0" w:color="auto"/>
            <w:right w:val="none" w:sz="0" w:space="0" w:color="auto"/>
          </w:divBdr>
        </w:div>
        <w:div w:id="777027381">
          <w:marLeft w:val="0"/>
          <w:marRight w:val="0"/>
          <w:marTop w:val="0"/>
          <w:marBottom w:val="0"/>
          <w:divBdr>
            <w:top w:val="none" w:sz="0" w:space="0" w:color="auto"/>
            <w:left w:val="none" w:sz="0" w:space="0" w:color="auto"/>
            <w:bottom w:val="none" w:sz="0" w:space="0" w:color="auto"/>
            <w:right w:val="none" w:sz="0" w:space="0" w:color="auto"/>
          </w:divBdr>
        </w:div>
        <w:div w:id="938947393">
          <w:marLeft w:val="0"/>
          <w:marRight w:val="0"/>
          <w:marTop w:val="0"/>
          <w:marBottom w:val="0"/>
          <w:divBdr>
            <w:top w:val="none" w:sz="0" w:space="0" w:color="auto"/>
            <w:left w:val="none" w:sz="0" w:space="0" w:color="auto"/>
            <w:bottom w:val="none" w:sz="0" w:space="0" w:color="auto"/>
            <w:right w:val="none" w:sz="0" w:space="0" w:color="auto"/>
          </w:divBdr>
        </w:div>
        <w:div w:id="1804540993">
          <w:marLeft w:val="0"/>
          <w:marRight w:val="0"/>
          <w:marTop w:val="0"/>
          <w:marBottom w:val="0"/>
          <w:divBdr>
            <w:top w:val="none" w:sz="0" w:space="0" w:color="auto"/>
            <w:left w:val="none" w:sz="0" w:space="0" w:color="auto"/>
            <w:bottom w:val="none" w:sz="0" w:space="0" w:color="auto"/>
            <w:right w:val="none" w:sz="0" w:space="0" w:color="auto"/>
          </w:divBdr>
        </w:div>
        <w:div w:id="2052654113">
          <w:marLeft w:val="0"/>
          <w:marRight w:val="0"/>
          <w:marTop w:val="0"/>
          <w:marBottom w:val="0"/>
          <w:divBdr>
            <w:top w:val="none" w:sz="0" w:space="0" w:color="auto"/>
            <w:left w:val="none" w:sz="0" w:space="0" w:color="auto"/>
            <w:bottom w:val="none" w:sz="0" w:space="0" w:color="auto"/>
            <w:right w:val="none" w:sz="0" w:space="0" w:color="auto"/>
          </w:divBdr>
        </w:div>
        <w:div w:id="2038457131">
          <w:marLeft w:val="0"/>
          <w:marRight w:val="0"/>
          <w:marTop w:val="0"/>
          <w:marBottom w:val="0"/>
          <w:divBdr>
            <w:top w:val="none" w:sz="0" w:space="0" w:color="auto"/>
            <w:left w:val="none" w:sz="0" w:space="0" w:color="auto"/>
            <w:bottom w:val="none" w:sz="0" w:space="0" w:color="auto"/>
            <w:right w:val="none" w:sz="0" w:space="0" w:color="auto"/>
          </w:divBdr>
        </w:div>
        <w:div w:id="471102162">
          <w:marLeft w:val="0"/>
          <w:marRight w:val="0"/>
          <w:marTop w:val="0"/>
          <w:marBottom w:val="0"/>
          <w:divBdr>
            <w:top w:val="none" w:sz="0" w:space="0" w:color="auto"/>
            <w:left w:val="none" w:sz="0" w:space="0" w:color="auto"/>
            <w:bottom w:val="none" w:sz="0" w:space="0" w:color="auto"/>
            <w:right w:val="none" w:sz="0" w:space="0" w:color="auto"/>
          </w:divBdr>
        </w:div>
        <w:div w:id="336200499">
          <w:marLeft w:val="0"/>
          <w:marRight w:val="0"/>
          <w:marTop w:val="0"/>
          <w:marBottom w:val="0"/>
          <w:divBdr>
            <w:top w:val="none" w:sz="0" w:space="0" w:color="auto"/>
            <w:left w:val="none" w:sz="0" w:space="0" w:color="auto"/>
            <w:bottom w:val="none" w:sz="0" w:space="0" w:color="auto"/>
            <w:right w:val="none" w:sz="0" w:space="0" w:color="auto"/>
          </w:divBdr>
        </w:div>
        <w:div w:id="1427729911">
          <w:marLeft w:val="0"/>
          <w:marRight w:val="0"/>
          <w:marTop w:val="0"/>
          <w:marBottom w:val="0"/>
          <w:divBdr>
            <w:top w:val="none" w:sz="0" w:space="0" w:color="auto"/>
            <w:left w:val="none" w:sz="0" w:space="0" w:color="auto"/>
            <w:bottom w:val="none" w:sz="0" w:space="0" w:color="auto"/>
            <w:right w:val="none" w:sz="0" w:space="0" w:color="auto"/>
          </w:divBdr>
        </w:div>
        <w:div w:id="1163081647">
          <w:marLeft w:val="0"/>
          <w:marRight w:val="0"/>
          <w:marTop w:val="0"/>
          <w:marBottom w:val="0"/>
          <w:divBdr>
            <w:top w:val="none" w:sz="0" w:space="0" w:color="auto"/>
            <w:left w:val="none" w:sz="0" w:space="0" w:color="auto"/>
            <w:bottom w:val="none" w:sz="0" w:space="0" w:color="auto"/>
            <w:right w:val="none" w:sz="0" w:space="0" w:color="auto"/>
          </w:divBdr>
        </w:div>
        <w:div w:id="1079131829">
          <w:marLeft w:val="0"/>
          <w:marRight w:val="0"/>
          <w:marTop w:val="0"/>
          <w:marBottom w:val="0"/>
          <w:divBdr>
            <w:top w:val="none" w:sz="0" w:space="0" w:color="auto"/>
            <w:left w:val="none" w:sz="0" w:space="0" w:color="auto"/>
            <w:bottom w:val="none" w:sz="0" w:space="0" w:color="auto"/>
            <w:right w:val="none" w:sz="0" w:space="0" w:color="auto"/>
          </w:divBdr>
        </w:div>
        <w:div w:id="1263341108">
          <w:marLeft w:val="0"/>
          <w:marRight w:val="0"/>
          <w:marTop w:val="0"/>
          <w:marBottom w:val="0"/>
          <w:divBdr>
            <w:top w:val="none" w:sz="0" w:space="0" w:color="auto"/>
            <w:left w:val="none" w:sz="0" w:space="0" w:color="auto"/>
            <w:bottom w:val="none" w:sz="0" w:space="0" w:color="auto"/>
            <w:right w:val="none" w:sz="0" w:space="0" w:color="auto"/>
          </w:divBdr>
        </w:div>
        <w:div w:id="2137750775">
          <w:marLeft w:val="0"/>
          <w:marRight w:val="0"/>
          <w:marTop w:val="0"/>
          <w:marBottom w:val="0"/>
          <w:divBdr>
            <w:top w:val="none" w:sz="0" w:space="0" w:color="auto"/>
            <w:left w:val="none" w:sz="0" w:space="0" w:color="auto"/>
            <w:bottom w:val="none" w:sz="0" w:space="0" w:color="auto"/>
            <w:right w:val="none" w:sz="0" w:space="0" w:color="auto"/>
          </w:divBdr>
        </w:div>
        <w:div w:id="1310131492">
          <w:marLeft w:val="0"/>
          <w:marRight w:val="0"/>
          <w:marTop w:val="0"/>
          <w:marBottom w:val="0"/>
          <w:divBdr>
            <w:top w:val="none" w:sz="0" w:space="0" w:color="auto"/>
            <w:left w:val="none" w:sz="0" w:space="0" w:color="auto"/>
            <w:bottom w:val="none" w:sz="0" w:space="0" w:color="auto"/>
            <w:right w:val="none" w:sz="0" w:space="0" w:color="auto"/>
          </w:divBdr>
        </w:div>
        <w:div w:id="925921557">
          <w:marLeft w:val="0"/>
          <w:marRight w:val="0"/>
          <w:marTop w:val="0"/>
          <w:marBottom w:val="0"/>
          <w:divBdr>
            <w:top w:val="none" w:sz="0" w:space="0" w:color="auto"/>
            <w:left w:val="none" w:sz="0" w:space="0" w:color="auto"/>
            <w:bottom w:val="none" w:sz="0" w:space="0" w:color="auto"/>
            <w:right w:val="none" w:sz="0" w:space="0" w:color="auto"/>
          </w:divBdr>
        </w:div>
        <w:div w:id="1754551326">
          <w:marLeft w:val="0"/>
          <w:marRight w:val="0"/>
          <w:marTop w:val="0"/>
          <w:marBottom w:val="0"/>
          <w:divBdr>
            <w:top w:val="none" w:sz="0" w:space="0" w:color="auto"/>
            <w:left w:val="none" w:sz="0" w:space="0" w:color="auto"/>
            <w:bottom w:val="none" w:sz="0" w:space="0" w:color="auto"/>
            <w:right w:val="none" w:sz="0" w:space="0" w:color="auto"/>
          </w:divBdr>
        </w:div>
        <w:div w:id="345594484">
          <w:marLeft w:val="0"/>
          <w:marRight w:val="0"/>
          <w:marTop w:val="0"/>
          <w:marBottom w:val="0"/>
          <w:divBdr>
            <w:top w:val="none" w:sz="0" w:space="0" w:color="auto"/>
            <w:left w:val="none" w:sz="0" w:space="0" w:color="auto"/>
            <w:bottom w:val="none" w:sz="0" w:space="0" w:color="auto"/>
            <w:right w:val="none" w:sz="0" w:space="0" w:color="auto"/>
          </w:divBdr>
        </w:div>
      </w:divsChild>
    </w:div>
    <w:div w:id="1002313311">
      <w:bodyDiv w:val="1"/>
      <w:marLeft w:val="0"/>
      <w:marRight w:val="0"/>
      <w:marTop w:val="0"/>
      <w:marBottom w:val="0"/>
      <w:divBdr>
        <w:top w:val="none" w:sz="0" w:space="0" w:color="auto"/>
        <w:left w:val="none" w:sz="0" w:space="0" w:color="auto"/>
        <w:bottom w:val="none" w:sz="0" w:space="0" w:color="auto"/>
        <w:right w:val="none" w:sz="0" w:space="0" w:color="auto"/>
      </w:divBdr>
    </w:div>
    <w:div w:id="130476965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927849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590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079167"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20787952"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417"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case/6079167" TargetMode="External"/><Relationship Id="rId23" Type="http://schemas.openxmlformats.org/officeDocument/2006/relationships/fontTable" Target="fontTable.xml"/><Relationship Id="rId10" Type="http://schemas.openxmlformats.org/officeDocument/2006/relationships/hyperlink" Target="http://www.nevo.co.il/law/74417/38"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143342"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A7CE3"/>
    <w:rsid w:val="00AB149E"/>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אספן שווק בע"מ</FullName>
        <LastName>אספן שווק בע"מ</LastName>
        <PartyPropertyName/>
        <AuthenticationTypeAndNumber>חברות 511242976</AuthenticationTypeAndNumber>
        <RepresentatedOrRepresentativesNames>ארנולד פרידמן</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257455683</CasePartyID>
        <PartyTypeID>1</PartyTypeID>
        <ActivityStatusID>1</ActivityStatusID>
        <PartyAliasID>3</PartyAliasID>
        <PartyAliasName>מבקש</PartyAliasName>
        <OrdinalNumber>1</OrdinalNumber>
        <LegalEntityID>108583</LegalEntityID>
        <CaseLegalEntityID>124898526</CaseLegalEntityID>
        <AuthenticationTypeID>3</AuthenticationTypeID>
        <AuthenticationTypeName>חברות</AuthenticationTypeName>
        <LegalEntityNumber>511242976</LegalEntityNumber>
        <IsMainPartyType>true</IsMainPartyType>
        <CaseDisplayIdentifier>58064-06-23</CaseDisplayIdentifier>
        <CaseTypeID>78</CaseTypeID>
        <CaseTypeName>רשות ערעור אזרחי (רע"א)</CaseTypeName>
        <CaseName>אספן שווק בע"מ נ' DERMAESTHETICS BEVERLY LHILLS FORMULA USA, INC</CaseName>
        <FullAddress>שביל הזהב 4 רעננה </FullAddress>
        <MotionID>0</MotionID>
        <CasePleaID>0</CasePleaID>
        <LinkedCaseID>0</LinkedCaseID>
        <PartyID>1</PartyID>
        <CasePartyCategoryID>2</CasePartyCategoryID>
        <LegalEntityAddressID>87050158</LegalEntityAddressID>
        <PleaTypeID>5</PleaTypeID>
        <GroupPartyAlias>מבקשים</GroupPartyAlias>
        <IsConverted>false</IsConverted>
        <LegalEntityRegisteredNameID>107726</LegalEntityRegisteredNameID>
        <RepresentatedNamesOfAssistant/>
        <LegalEntityTypeID>3</LegalEntityTypeID>
        <IsVerdictExists>false</IsVerdictExists>
        <IsAsirAzir>false</IsAsirAzir>
        <IsPublicationProhibited>false</IsPublicationProhibited>
        <PublicationProhibitedFullName>אספן שווק בע"מ</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ארנולד פרידמן</FullName>
        <FirstName>ארנולד</FirstName>
        <LastName>פרידמן</LastName>
        <PartyPropertyName/>
        <AuthenticationTypeAndNumber>מ.ר. 26137</AuthenticationTypeAndNumber>
        <RepresentatedOrRepresentativesNames xml:space="preserve"> </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257455685</CasePartyID>
        <PartyTypeID>2</PartyTypeID>
        <ActivityStatusID>1</ActivityStatusID>
        <PartyAliasID>22</PartyAliasID>
        <PartyAliasName>בא כוח מבקשים</PartyAliasName>
        <OrdinalNumber>1</OrdinalNumber>
        <LegalEntityID>387612</LegalEntityID>
        <CaseLegalEntityID>124898528</CaseLegalEntityID>
        <AuthenticationTypeID>4</AuthenticationTypeID>
        <AuthenticationTypeName>מ.ר.</AuthenticationTypeName>
        <LegalEntityNumber>26137</LegalEntityNumber>
        <IsMainPartyType>true</IsMainPartyType>
        <CaseDisplayIdentifier>58064-06-23</CaseDisplayIdentifier>
        <CaseTypeID>78</CaseTypeID>
        <CaseTypeName>רשות ערעור אזרחי (רע"א)</CaseTypeName>
        <CaseName>אספן שווק בע"מ נ' DERMAESTHETICS BEVERLY LHILLS FORMULA USA, INC</CaseName>
        <FullAddress>התדהר 5 רעננה </FullAddress>
        <MotionID>0</MotionID>
        <CasePleaID>0</CasePleaID>
        <LinkedCaseID>0</LinkedCaseID>
        <PartyID>1</PartyID>
        <CasePartyCategoryID>2</CasePartyCategoryID>
        <LegalEntityAddressID>85023048</LegalEntityAddressID>
        <PleaTypeID>5</PleaTypeID>
        <LawyerOfficeName>משרד עו"ד: ארנולד פרידמן</LawyerOfficeName>
        <LawyerOfficeID>428256</LawyerOfficeID>
        <GroupPartyAlias/>
        <IsConverted>false</IsConverted>
        <LegalEntityNameID>8596</LegalEntityNameID>
        <RepresentatedNamesOfAssistant/>
        <LegalEntityTypeID>4</LegalEntityTypeID>
        <IsVerdictExists>false</IsVerdictExists>
        <IsAsirAzir>false</IsAsirAzir>
        <IsPublicationProhibited>false</IsPublicationProhibited>
        <PublicationProhibitedFullName>ארנולד פרידמן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סהר רגב</FullName>
        <FirstName>סהר</FirstName>
        <LastName>רגב</LastName>
        <PartyPropertyName/>
        <AuthenticationTypeAndNumber>מ.ר. 56818</AuthenticationTypeAndNumber>
        <RepresentatedOrRepresentativesNames> DERMAESTHETICS BEVERLY LHILLS FORMULA USA, INC</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259204635</CasePartyID>
        <PartyTypeID>2</PartyTypeID>
        <ActivityStatusID>1</ActivityStatusID>
        <PartyAliasID>23</PartyAliasID>
        <PartyAliasName>בא כוח משיבים</PartyAliasName>
        <OrdinalNumber>1</OrdinalNumber>
        <LegalEntityID>71031140</LegalEntityID>
        <CaseLegalEntityID>125458268</CaseLegalEntityID>
        <AuthenticationTypeID>4</AuthenticationTypeID>
        <AuthenticationTypeName>מ.ר.</AuthenticationTypeName>
        <LegalEntityNumber>56818</LegalEntityNumber>
        <IsMainPartyType>true</IsMainPartyType>
        <CaseDisplayIdentifier>58064-06-23</CaseDisplayIdentifier>
        <CaseTypeID>78</CaseTypeID>
        <CaseTypeName>רשות ערעור אזרחי (רע"א)</CaseTypeName>
        <CaseName>אספן שווק בע"מ נ' DERMAESTHETICS BEVERLY LHILLS FORMULA USA, INC</CaseName>
        <FullAddress>יצחק שדה 4 תל אביב -יפו </FullAddress>
        <EmailAddress>hfn@hfn.co.il</EmailAddress>
        <MotionID>0</MotionID>
        <CasePleaID>0</CasePleaID>
        <LinkedCaseID>0</LinkedCaseID>
        <PartyID>2</PartyID>
        <CasePartyCategoryID>2</CasePartyCategoryID>
        <LegalEntityAddressID>85358532</LegalEntityAddressID>
        <LegalEntityEmailAddressID>31826952</LegalEntityEmailAddressID>
        <PleaTypeID>5</PleaTypeID>
        <LawyerOfficeName>משרד עו"ד:  הרצוג פוקס נאמן ושות'</LawyerOfficeName>
        <LawyerOfficeID>421119</LawyerOfficeID>
        <GroupPartyAlias/>
        <IsConverted>false</IsConverted>
        <LegalEntityNameID>73891753</LegalEntityNameID>
        <RepresentatedNamesOfAssistant/>
        <LegalEntityTypeID>4</LegalEntityTypeID>
        <IsVerdictExists>false</IsVerdictExists>
        <IsAsirAzir>false</IsAsirAzir>
        <IsPublicationProhibited>false</IsPublicationProhibited>
        <PublicationProhibitedFullName>סהר רגב</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DERMAESTHETICS BEVERLY LHILLS FORMULA USA, INC</FullName>
        <LastName>DERMAESTHETICS BEVERLY LHILLS FORMULA USA, INC</LastName>
        <PartyPropertyName/>
        <AuthenticationTypeAndNumber>חברות </AuthenticationTypeAndNumber>
        <RepresentatedOrRepresentativesNames>סהר רגב</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257455684</CasePartyID>
        <PartyTypeID>1</PartyTypeID>
        <ActivityStatusID>1</ActivityStatusID>
        <PartyAliasID>4</PartyAliasID>
        <PartyAliasName>משיב</PartyAliasName>
        <OrdinalNumber>1</OrdinalNumber>
        <LegalEntityID>80773401</LegalEntityID>
        <CaseLegalEntityID>124898527</CaseLegalEntityID>
        <AuthenticationTypeID>3</AuthenticationTypeID>
        <AuthenticationTypeName>חברות</AuthenticationTypeName>
        <IsMainPartyType>true</IsMainPartyType>
        <CaseDisplayIdentifier>58064-06-23</CaseDisplayIdentifier>
        <CaseTypeID>78</CaseTypeID>
        <CaseTypeName>רשות ערעור אזרחי (רע"א)</CaseTypeName>
        <CaseName>אספן שווק בע"מ נ' DERMAESTHETICS BEVERLY LHILLS FORMULA USA, INC</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93786691</LegalEntityNameID>
        <RepresentatedNamesOfAssistant/>
        <LegalEntityTypeID>3</LegalEntityTypeID>
        <IsVerdictExists>false</IsVerdictExists>
        <IsAsirAzir>false</IsAsirAzir>
        <IsPublicationProhibited>false</IsPublicationProhibited>
        <PublicationProhibitedFullName>DERMAESTHETICS BEVERLY LHILLS FORMULA USA, INC</PublicationProhibitedFullName>
      </CaseParties>
    </CasePartiesSelectionDS>
    <DecisionName>החלטה  שניתנה ע"י  אילן דפדי</DecisionName>
    <CourtDisplayName>בית המשפט המחוזי בתל אביב -יפו</CourtDisplayName>
    <IsCaseJudgePanel>false</IsCaseJudgePanel>
    <DecisionSignatureDate>2023-10-15T09:54:20.7984452+03:00</DecisionSignatureDate>
    <OpenCaseDate>2023-06-25T09:51:00+03:00</OpenCaseDate>
    <CaseFeeSum>0.000</CaseFeeSum>
    <DecisionTypeID>1</DecisionTypeID>
    <DecisionSignatureUserName>אילן דפדי</DecisionSignatureUserName>
    <DecisionSignatureDateHebrew>2023-10-15T09:54:20.7984452+03:00</DecisionSignatureDateHebrew>
    <DecisionWriterID>058276254@GOV.IL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אספן שווק בע"מ נ' DERMAESTHETICS BEVERLY LHILLS FORMULA USA, INC</CaseName>
    <DecisionNumberInCase>8</DecisionNumberInCase>
  </dt_Decision>
  <dt_DecisionCase>
    <DecisionID>0</DecisionID>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אספן שווק בע"מ</FullName>
        <LastName>אספן שווק בע"מ</LastName>
        <PartyPropertyName/>
        <AuthenticationTypeAndNumber>חברות 511242976</AuthenticationTypeAndNumber>
        <RepresentatedOrRepresentativesNames>ארנולד פרידמן</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257455683</CasePartyID>
        <PartyTypeID>1</PartyTypeID>
        <ActivityStatusID>1</ActivityStatusID>
        <PartyAliasID>3</PartyAliasID>
        <PartyAliasName>מבקש</PartyAliasName>
        <OrdinalNumber>1</OrdinalNumber>
        <LegalEntityID>108583</LegalEntityID>
        <CaseLegalEntityID>124898526</CaseLegalEntityID>
        <AuthenticationTypeID>3</AuthenticationTypeID>
        <AuthenticationTypeName>חברות</AuthenticationTypeName>
        <LegalEntityNumber>511242976</LegalEntityNumber>
        <IsMainPartyType>true</IsMainPartyType>
        <CaseDisplayIdentifier>58064-06-23</CaseDisplayIdentifier>
        <CaseTypeID>78</CaseTypeID>
        <CaseTypeName>רשות ערעור אזרחי (רע"א)</CaseTypeName>
        <CaseName>אספן שווק בע"מ נ' DERMAESTHETICS BEVERLY LHILLS FORMULA USA, INC</CaseName>
        <FullAddress>שביל הזהב 4 רעננה </FullAddress>
        <MotionID>0</MotionID>
        <CasePleaID>0</CasePleaID>
        <LinkedCaseID>0</LinkedCaseID>
        <PartyID>1</PartyID>
        <CasePartyCategoryID>2</CasePartyCategoryID>
        <LegalEntityAddressID>87050158</LegalEntityAddressID>
        <PleaTypeID>5</PleaTypeID>
        <GroupPartyAlias>מבקשים</GroupPartyAlias>
        <IsConverted>false</IsConverted>
        <LegalEntityRegisteredNameID>107726</LegalEntityRegisteredNameID>
        <RepresentatedNamesOfAssistant/>
        <LegalEntityTypeID>3</LegalEntityTypeID>
        <IsVerdictExists>false</IsVerdictExists>
        <IsAsirAzir>false</IsAsirAzir>
        <IsPublicationProhibited>false</IsPublicationProhibited>
        <PublicationProhibitedFullName>אספן שווק בע"מ</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ארנולד פרידמן</FullName>
        <FirstName>ארנולד</FirstName>
        <LastName>פרידמן</LastName>
        <PartyPropertyName/>
        <AuthenticationTypeAndNumber>מ.ר. 26137</AuthenticationTypeAndNumber>
        <RepresentatedOrRepresentativesNames xml:space="preserve"> </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257455685</CasePartyID>
        <PartyTypeID>2</PartyTypeID>
        <ActivityStatusID>1</ActivityStatusID>
        <PartyAliasID>22</PartyAliasID>
        <PartyAliasName>בא כוח מבקשים</PartyAliasName>
        <OrdinalNumber>1</OrdinalNumber>
        <LegalEntityID>387612</LegalEntityID>
        <CaseLegalEntityID>124898528</CaseLegalEntityID>
        <AuthenticationTypeID>4</AuthenticationTypeID>
        <AuthenticationTypeName>מ.ר.</AuthenticationTypeName>
        <LegalEntityNumber>26137</LegalEntityNumber>
        <IsMainPartyType>true</IsMainPartyType>
        <CaseDisplayIdentifier>58064-06-23</CaseDisplayIdentifier>
        <CaseTypeID>78</CaseTypeID>
        <CaseTypeName>רשות ערעור אזרחי (רע"א)</CaseTypeName>
        <CaseName>אספן שווק בע"מ נ' DERMAESTHETICS BEVERLY LHILLS FORMULA USA, INC</CaseName>
        <FullAddress>התדהר 5 רעננה </FullAddress>
        <MotionID>0</MotionID>
        <CasePleaID>0</CasePleaID>
        <LinkedCaseID>0</LinkedCaseID>
        <PartyID>1</PartyID>
        <CasePartyCategoryID>2</CasePartyCategoryID>
        <LegalEntityAddressID>85023048</LegalEntityAddressID>
        <PleaTypeID>5</PleaTypeID>
        <LawyerOfficeName>משרד עו"ד: ארנולד פרידמן</LawyerOfficeName>
        <LawyerOfficeID>428256</LawyerOfficeID>
        <GroupPartyAlias/>
        <IsConverted>false</IsConverted>
        <LegalEntityNameID>8596</LegalEntityNameID>
        <RepresentatedNamesOfAssistant/>
        <LegalEntityTypeID>4</LegalEntityTypeID>
        <IsVerdictExists>false</IsVerdictExists>
        <IsAsirAzir>false</IsAsirAzir>
        <IsPublicationProhibited>false</IsPublicationProhibited>
        <PublicationProhibitedFullName>ארנולד פרידמן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סהר רגב</FullName>
        <FirstName>סהר</FirstName>
        <LastName>רגב</LastName>
        <PartyPropertyName/>
        <AuthenticationTypeAndNumber>מ.ר. 56818</AuthenticationTypeAndNumber>
        <RepresentatedOrRepresentativesNames> DERMAESTHETICS BEVERLY LHILLS FORMULA USA, INC</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259204635</CasePartyID>
        <PartyTypeID>2</PartyTypeID>
        <ActivityStatusID>1</ActivityStatusID>
        <PartyAliasID>23</PartyAliasID>
        <PartyAliasName>בא כוח משיבים</PartyAliasName>
        <OrdinalNumber>1</OrdinalNumber>
        <LegalEntityID>71031140</LegalEntityID>
        <CaseLegalEntityID>125458268</CaseLegalEntityID>
        <AuthenticationTypeID>4</AuthenticationTypeID>
        <AuthenticationTypeName>מ.ר.</AuthenticationTypeName>
        <LegalEntityNumber>56818</LegalEntityNumber>
        <IsMainPartyType>true</IsMainPartyType>
        <CaseDisplayIdentifier>58064-06-23</CaseDisplayIdentifier>
        <CaseTypeID>78</CaseTypeID>
        <CaseTypeName>רשות ערעור אזרחי (רע"א)</CaseTypeName>
        <CaseName>אספן שווק בע"מ נ' DERMAESTHETICS BEVERLY LHILLS FORMULA USA, INC</CaseName>
        <FullAddress>יצחק שדה 4 תל אביב -יפו </FullAddress>
        <EmailAddress>hfn@hfn.co.il</EmailAddress>
        <MotionID>0</MotionID>
        <CasePleaID>0</CasePleaID>
        <LinkedCaseID>0</LinkedCaseID>
        <PartyID>2</PartyID>
        <CasePartyCategoryID>2</CasePartyCategoryID>
        <LegalEntityAddressID>85358532</LegalEntityAddressID>
        <LegalEntityEmailAddressID>31826952</LegalEntityEmailAddressID>
        <PleaTypeID>5</PleaTypeID>
        <LawyerOfficeName>משרד עו"ד:  הרצוג פוקס נאמן ושות'</LawyerOfficeName>
        <LawyerOfficeID>421119</LawyerOfficeID>
        <GroupPartyAlias/>
        <IsConverted>false</IsConverted>
        <LegalEntityNameID>73891753</LegalEntityNameID>
        <RepresentatedNamesOfAssistant/>
        <LegalEntityTypeID>4</LegalEntityTypeID>
        <IsVerdictExists>false</IsVerdictExists>
        <IsAsirAzir>false</IsAsirAzir>
        <IsPublicationProhibited>false</IsPublicationProhibited>
        <PublicationProhibitedFullName>סהר רגב</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DERMAESTHETICS BEVERLY LHILLS FORMULA USA, INC</FullName>
        <LastName>DERMAESTHETICS BEVERLY LHILLS FORMULA USA, INC</LastName>
        <PartyPropertyName/>
        <AuthenticationTypeAndNumber>חברות </AuthenticationTypeAndNumber>
        <RepresentatedOrRepresentativesNames>סהר רגב</RepresentatedOrRepresentativesNames>
        <RepresentatedOrRepresentativesCount>1</RepresentatedOrRepresentativesCount>
        <InvitedBy/>
        <CaseID>80371829</CaseID>
        <CaseJudicialPersonPresentationDS>
          <CaseJudicalPersonActive>
            <CaseID>80371829</CaseID>
            <JudicialPersonID>058276254@GOV.IL</JudicialPersonID>
            <JudicialPersonTypeID>1</JudicialPersonTypeID>
            <JudicialTypeID>1</JudicialTypeID>
            <IsChairman>false</IsChairman>
            <TreatmentStartDate>2023-07-02T10:22:13.767+03:00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257455684</CasePartyID>
        <PartyTypeID>1</PartyTypeID>
        <ActivityStatusID>1</ActivityStatusID>
        <PartyAliasID>4</PartyAliasID>
        <PartyAliasName>משיב</PartyAliasName>
        <OrdinalNumber>1</OrdinalNumber>
        <LegalEntityID>80773401</LegalEntityID>
        <CaseLegalEntityID>124898527</CaseLegalEntityID>
        <AuthenticationTypeID>3</AuthenticationTypeID>
        <AuthenticationTypeName>חברות</AuthenticationTypeName>
        <IsMainPartyType>true</IsMainPartyType>
        <CaseDisplayIdentifier>58064-06-23</CaseDisplayIdentifier>
        <CaseTypeID>78</CaseTypeID>
        <CaseTypeName>רשות ערעור אזרחי (רע"א)</CaseTypeName>
        <CaseName>אספן שווק בע"מ נ' DERMAESTHETICS BEVERLY LHILLS FORMULA USA, INC</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93786691</LegalEntityNameID>
        <RepresentatedNamesOfAssistant/>
        <LegalEntityTypeID>3</LegalEntityTypeID>
        <IsVerdictExists>false</IsVerdictExists>
        <IsAsirAzir>false</IsAsirAzir>
        <IsPublicationProhibited>false</IsPublicationProhibited>
        <PublicationProhibitedFullName>DERMAESTHETICS BEVERLY LHILLS FORMULA USA, INC</PublicationProhibitedFullName>
      </CaseParties>
    </CasePartiesSelectionDS>
    <CaseName>אספן שווק בע"מ נ' DERMAESTHETICS BEVERLY LHILLS FORMULA USA, INC</CaseName>
    <CaseDisplayIdentifier>58064-06-23</CaseDisplayIdentifier>
    <CaseInterestID>99</CaseInterestID>
    <CaseTypeShortName>רע"א</CaseTypeShortName>
  </dt_DecisionCase>
  <dt_DecisionJudgePanel>
    <JudgeID>058276254@GOV.IL</JudgeID>
    <DisplayName>אילן דפדי</DisplayName>
    <RoleName>שופט</RoleName>
    <UserTitleName>שופט</UserTitleName>
  </dt_DecisionJudgePanel>
  <dt_LegalEntityDetails>
    <PartyID>1</PartyID>
    <PartyTypeID>1</PartyTypeID>
    <DecisionID>0</DecisionID>
    <StreetName>שביל הזהב 4</StreetName>
    <CityName>רעננה</CityName>
    <FullName> אספן שווק בע"מ</FullName>
    <IsPublicationProhibited>false</IsPublicationProhibited>
  </dt_LegalEntityDetails>
  <dt_LegalEntityDetails>
    <PartyID>2</PartyID>
    <PartyTypeID>1</PartyTypeID>
    <DecisionID>0</DecisionID>
    <FullName> DERMAESTHETICS BEVERLY LHILLS FORMULA USA, INC</FullName>
    <IsPublicationProhibited>false</IsPublicationProhibited>
  </dt_LegalEntityDetails>
  <dt_LegalEntityDetails>
    <Fax>09-7714617</Fax>
    <Phone>09-7940803</Phone>
    <PartyID>1</PartyID>
    <PartyTypeID>2</PartyTypeID>
    <DecisionID>0</DecisionID>
    <StreetName>התדהר 5</StreetName>
    <ZipCode>4366507</ZipCode>
    <CityName>רעננה</CityName>
    <FullName>ארנולד פרידמן</FullName>
    <Email>arnoldf@law-amf.co.il</Email>
    <IsPublicationProhibited>false</IsPublicationProhibited>
  </dt_LegalEntityDetails>
  <dt_LegalEntityDetails>
    <Fax>03-6966464</Fax>
    <Phone>03-6922020</Phone>
    <AddressDesc/>
    <PartyID>2</PartyID>
    <PartyTypeID>2</PartyTypeID>
    <DecisionID>0</DecisionID>
    <StreetName>יצחק שדה 4</StreetName>
    <ZipCode>6777504</ZipCode>
    <CityName>תל אביב -יפו</CityName>
    <FullName>סהר רגב</FullName>
    <Email>hfn@hfn.co.il</Email>
    <IsPublicationProhibited>false</IsPublicationProhibited>
  </dt_LegalEntityDetails>
  <dt_CaseJudicalPersonActive>
    <CaseJudicalPerson>שופט אילן דפדי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730-13D1-47BB-A090-472059DAF9EA}">
  <ds:schemaRefs/>
</ds:datastoreItem>
</file>

<file path=customXml/itemProps2.xml><?xml version="1.0" encoding="utf-8"?>
<ds:datastoreItem xmlns:ds="http://schemas.openxmlformats.org/officeDocument/2006/customXml" ds:itemID="{D9AEA278-5B0A-4B68-A7C2-88738407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2169</Words>
  <Characters>10848</Characters>
  <Application>Microsoft Office Word</Application>
  <DocSecurity>0</DocSecurity>
  <Lines>90</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2023-10-19T07:03:00Z</cp:lastPrinted>
  <dcterms:created xsi:type="dcterms:W3CDTF">2023-10-26T06:30:00Z</dcterms:created>
  <dcterms:modified xsi:type="dcterms:W3CDTF">2023-10-26T06:30:00Z</dcterms:modified>
</cp:coreProperties>
</file>